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footer39.xml" ContentType="application/vnd.openxmlformats-officedocument.wordprocessingml.footer+xml"/>
  <Override PartName="/word/document.xml" ContentType="application/vnd.openxmlformats-officedocument.wordprocessingml.document.main+xml"/>
  <Override PartName="/word/footer1.xml" ContentType="application/vnd.openxmlformats-officedocument.wordprocessingml.footer+xml"/>
  <Override PartName="/word/footer12.xml" ContentType="application/vnd.openxmlformats-officedocument.wordprocessingml.footer+xml"/>
  <Override PartName="/word/styles.xml" ContentType="application/vnd.openxmlformats-officedocument.wordprocessingml.styles+xml"/>
  <Override PartName="/word/footer2.xml" ContentType="application/vnd.openxmlformats-officedocument.wordprocessingml.footer+xml"/>
  <Override PartName="/word/footer21.xml" ContentType="application/vnd.openxmlformats-officedocument.wordprocessingml.footer+xml"/>
  <Override PartName="/word/footer4.xml" ContentType="application/vnd.openxmlformats-officedocument.wordprocessingml.footer+xml"/>
  <Override PartName="/word/media/image1.jpeg" ContentType="image/jpeg"/>
  <Override PartName="/word/footer16.xml" ContentType="application/vnd.openxmlformats-officedocument.wordprocessingml.footer+xml"/>
  <Override PartName="/word/footer3.xml" ContentType="application/vnd.openxmlformats-officedocument.wordprocessingml.footer+xml"/>
  <Override PartName="/word/footer20.xml" ContentType="application/vnd.openxmlformats-officedocument.wordprocessingml.footer+xml"/>
  <Override PartName="/word/footer5.xml" ContentType="application/vnd.openxmlformats-officedocument.wordprocessingml.footer+xml"/>
  <Override PartName="/word/footer22.xml" ContentType="application/vnd.openxmlformats-officedocument.wordprocessingml.footer+xml"/>
  <Override PartName="/word/footer6.xml" ContentType="application/vnd.openxmlformats-officedocument.wordprocessingml.footer+xml"/>
  <Override PartName="/word/footer23.xml" ContentType="application/vnd.openxmlformats-officedocument.wordprocessingml.footer+xml"/>
  <Override PartName="/word/footer7.xml" ContentType="application/vnd.openxmlformats-officedocument.wordprocessingml.footer+xml"/>
  <Override PartName="/word/footer24.xml" ContentType="application/vnd.openxmlformats-officedocument.wordprocessingml.footer+xml"/>
  <Override PartName="/word/footer8.xml" ContentType="application/vnd.openxmlformats-officedocument.wordprocessingml.footer+xml"/>
  <Override PartName="/word/footer25.xml" ContentType="application/vnd.openxmlformats-officedocument.wordprocessingml.footer+xml"/>
  <Override PartName="/word/footer9.xml" ContentType="application/vnd.openxmlformats-officedocument.wordprocessingml.footer+xml"/>
  <Override PartName="/word/footer26.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numbering.xml" ContentType="application/vnd.openxmlformats-officedocument.wordprocessingml.numbering+xml"/>
  <Override PartName="/word/footer15.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ntTable.xml" ContentType="application/vnd.openxmlformats-officedocument.wordprocessingml.fontTable+xml"/>
  <Override PartName="/word/footer19.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Andere1"/>
        <w:keepNext w:val="false"/>
        <w:keepLines w:val="false"/>
        <w:widowControl w:val="false"/>
        <w:pBdr>
          <w:top w:val="single" w:sz="6" w:space="1" w:color="548ACA"/>
          <w:left w:val="single" w:sz="6" w:space="0" w:color="548ACA"/>
          <w:bottom w:val="single" w:sz="6" w:space="6" w:color="548ACA"/>
          <w:right w:val="single" w:sz="6" w:space="0" w:color="548ACA"/>
        </w:pBdr>
        <w:shd w:val="clear" w:color="auto" w:fill="548ACA"/>
        <w:bidi w:val="0"/>
        <w:spacing w:lineRule="auto" w:line="187" w:before="0" w:after="0"/>
        <w:ind w:left="0" w:right="0" w:hanging="0"/>
        <w:jc w:val="right"/>
        <w:rPr>
          <w:sz w:val="72"/>
          <w:szCs w:val="72"/>
        </w:rPr>
      </w:pPr>
      <w:r>
        <w:rPr>
          <w:rFonts w:eastAsia="Arial" w:cs="Arial" w:ascii="Arial" w:hAnsi="Arial"/>
          <w:b/>
          <w:bCs/>
          <w:color w:val="FFFFFF"/>
          <w:spacing w:val="0"/>
          <w:w w:val="100"/>
          <w:sz w:val="72"/>
          <w:szCs w:val="72"/>
          <w:shd w:fill="auto" w:val="clear"/>
          <w:lang w:val="en-US" w:eastAsia="en-US" w:bidi="en-US"/>
        </w:rPr>
        <w:t>Gesellschaftsvertrag und politische Verpflichtung</w:t>
      </w:r>
    </w:p>
    <w:p>
      <w:pPr>
        <w:pStyle w:val="Andere1"/>
        <w:keepNext w:val="false"/>
        <w:keepLines w:val="false"/>
        <w:widowControl w:val="false"/>
        <w:pBdr>
          <w:top w:val="single" w:sz="6" w:space="25" w:color="548ACA"/>
          <w:left w:val="single" w:sz="6" w:space="0" w:color="548ACA"/>
          <w:bottom w:val="single" w:sz="6" w:space="0" w:color="548ACA"/>
          <w:right w:val="single" w:sz="6" w:space="0" w:color="548ACA"/>
        </w:pBdr>
        <w:shd w:val="clear" w:color="auto" w:fill="548ACA"/>
        <w:bidi w:val="0"/>
        <w:spacing w:lineRule="auto" w:line="240" w:before="0" w:after="500"/>
        <w:ind w:left="0" w:right="0" w:hanging="0"/>
        <w:jc w:val="right"/>
        <w:rPr>
          <w:sz w:val="38"/>
          <w:szCs w:val="38"/>
        </w:rPr>
      </w:pPr>
      <w:r>
        <w:rPr>
          <w:rFonts w:eastAsia="Arial" w:cs="Arial" w:ascii="Arial" w:hAnsi="Arial"/>
          <w:color w:val="FFFFFF"/>
          <w:spacing w:val="0"/>
          <w:w w:val="100"/>
          <w:sz w:val="38"/>
          <w:szCs w:val="38"/>
          <w:shd w:fill="auto" w:val="clear"/>
          <w:lang w:val="en-US" w:eastAsia="en-US" w:bidi="en-US"/>
        </w:rPr>
        <w:t>Eine Kritik und Neubewertung</w:t>
      </w:r>
    </w:p>
    <w:p>
      <w:pPr>
        <w:pStyle w:val="Andere1"/>
        <w:keepNext w:val="false"/>
        <w:keepLines w:val="false"/>
        <w:widowControl w:val="false"/>
        <w:pBdr>
          <w:top w:val="single" w:sz="6" w:space="25" w:color="548ACA"/>
          <w:left w:val="single" w:sz="6" w:space="0" w:color="548ACA"/>
          <w:bottom w:val="single" w:sz="6" w:space="0" w:color="548ACA"/>
          <w:right w:val="single" w:sz="6" w:space="0" w:color="548ACA"/>
        </w:pBdr>
        <w:shd w:val="clear" w:color="auto" w:fill="548ACA"/>
        <w:bidi w:val="0"/>
        <w:spacing w:lineRule="auto" w:line="240" w:before="0" w:after="4460"/>
        <w:ind w:left="0" w:right="0" w:hanging="0"/>
        <w:jc w:val="right"/>
        <w:rPr>
          <w:sz w:val="38"/>
          <w:szCs w:val="38"/>
        </w:rPr>
      </w:pPr>
      <w:r>
        <w:rPr>
          <w:rFonts w:eastAsia="Arial" w:cs="Arial" w:ascii="Arial" w:hAnsi="Arial"/>
          <w:color w:val="FFFFFF"/>
          <w:spacing w:val="0"/>
          <w:w w:val="100"/>
          <w:sz w:val="38"/>
          <w:szCs w:val="38"/>
          <w:shd w:fill="auto" w:val="clear"/>
          <w:lang w:val="en-US" w:eastAsia="en-US" w:bidi="en-US"/>
        </w:rPr>
        <w:t>Peter J. McCormick</w:t>
      </w:r>
    </w:p>
    <w:p>
      <w:pPr>
        <w:pStyle w:val="Andere1"/>
        <w:keepNext w:val="false"/>
        <w:keepLines w:val="false"/>
        <w:widowControl w:val="false"/>
        <w:pBdr>
          <w:top w:val="single" w:sz="6" w:space="25" w:color="548ACA"/>
          <w:left w:val="single" w:sz="6" w:space="0" w:color="548ACA"/>
          <w:bottom w:val="single" w:sz="6" w:space="0" w:color="548ACA"/>
          <w:right w:val="single" w:sz="6" w:space="0" w:color="548ACA"/>
        </w:pBdr>
        <w:shd w:val="clear" w:color="auto" w:fill="548ACA"/>
        <w:bidi w:val="0"/>
        <w:spacing w:lineRule="auto" w:line="264" w:before="0" w:after="1840"/>
        <w:ind w:left="0" w:right="0" w:hanging="0"/>
        <w:jc w:val="right"/>
        <w:rPr>
          <w:sz w:val="38"/>
          <w:szCs w:val="38"/>
        </w:rPr>
      </w:pPr>
      <w:r>
        <w:rPr>
          <w:rFonts w:eastAsia="Arial" w:cs="Arial" w:ascii="Arial" w:hAnsi="Arial"/>
          <w:color w:val="FFFFFF"/>
          <w:spacing w:val="0"/>
          <w:w w:val="100"/>
          <w:sz w:val="38"/>
          <w:szCs w:val="38"/>
          <w:shd w:fill="auto" w:val="clear"/>
          <w:lang w:val="en-US" w:eastAsia="en-US" w:bidi="en-US"/>
        </w:rPr>
        <w:t>ROUTLEDGE BIBLIOTHEKSAUSGABEN: POLITISCHES GEDANKEN UND POLITISCHE PHILOSOPHIE</w:t>
      </w:r>
    </w:p>
    <w:p>
      <w:pPr>
        <w:sectPr>
          <w:type w:val="nextPage"/>
          <w:pgSz w:w="12240" w:h="15840"/>
          <w:pgMar w:left="2476" w:right="1124" w:gutter="0" w:header="0" w:top="2450" w:footer="0" w:bottom="485"/>
          <w:pgNumType w:start="1" w:fmt="decimal"/>
          <w:formProt w:val="false"/>
          <w:textDirection w:val="lrTb"/>
          <w:docGrid w:type="default" w:linePitch="360" w:charSpace="0"/>
        </w:sectPr>
        <w:pStyle w:val="Normal"/>
        <w:widowControl w:val="false"/>
        <w:jc w:val="right"/>
        <w:rPr>
          <w:sz w:val="2"/>
          <w:szCs w:val="2"/>
        </w:rPr>
      </w:pPr>
      <w:r>
        <w:rPr/>
      </w:r>
    </w:p>
    <w:p>
      <w:pPr>
        <w:pStyle w:val="Andere1"/>
        <w:keepNext w:val="false"/>
        <w:keepLines w:val="false"/>
        <w:widowControl w:val="false"/>
        <w:pBdr>
          <w:bottom w:val="single" w:sz="4" w:space="0" w:color="000000"/>
        </w:pBdr>
        <w:shd w:val="clear" w:color="auto" w:fill="auto"/>
        <w:bidi w:val="0"/>
        <w:spacing w:lineRule="auto" w:line="240" w:before="0" w:after="1960"/>
        <w:ind w:left="0" w:right="0" w:hanging="0"/>
        <w:jc w:val="center"/>
        <w:rPr>
          <w:sz w:val="42"/>
          <w:szCs w:val="42"/>
        </w:rPr>
      </w:pPr>
      <w:bookmarkStart w:id="0" w:name="bookmark0"/>
      <w:r>
        <w:rPr>
          <w:color w:val="000000"/>
          <w:spacing w:val="0"/>
          <w:w w:val="100"/>
          <w:sz w:val="42"/>
          <w:szCs w:val="42"/>
          <w:shd w:fill="auto" w:val="clear"/>
          <w:lang w:val="en-US" w:eastAsia="en-US" w:bidi="en-US"/>
        </w:rPr>
        <w:t>AUSGABEN DER ROUTLEDGE-BIBLIOTHEK:</w:t>
        <w:br/>
        <w:t>POLITISCHES DENKEN UND POLITISCH</w:t>
        <w:br/>
        <w:t>PHILOSOPHIE</w:t>
      </w:r>
      <w:bookmarkEnd w:id="0"/>
    </w:p>
    <w:p>
      <w:pPr>
        <w:pStyle w:val="Andere1"/>
        <w:keepNext w:val="false"/>
        <w:keepLines w:val="false"/>
        <w:widowControl w:val="false"/>
        <w:shd w:val="clear" w:color="auto" w:fill="auto"/>
        <w:bidi w:val="0"/>
        <w:spacing w:lineRule="auto" w:line="240" w:before="0" w:after="1360"/>
        <w:ind w:left="0" w:right="0" w:hanging="0"/>
        <w:jc w:val="center"/>
        <w:rPr>
          <w:sz w:val="32"/>
          <w:szCs w:val="32"/>
        </w:rPr>
      </w:pPr>
      <w:r>
        <w:rPr>
          <w:color w:val="000000"/>
          <w:spacing w:val="0"/>
          <w:w w:val="100"/>
          <w:sz w:val="32"/>
          <w:szCs w:val="32"/>
          <w:shd w:fill="auto" w:val="clear"/>
          <w:lang w:val="en-US" w:eastAsia="en-US" w:bidi="en-US"/>
        </w:rPr>
        <w:t>Band 38</w:t>
      </w:r>
    </w:p>
    <w:p>
      <w:pPr>
        <w:sectPr>
          <w:footerReference w:type="even" r:id="rId2"/>
          <w:footerReference w:type="default" r:id="rId3"/>
          <w:type w:val="nextPage"/>
          <w:pgSz w:w="12240" w:h="15840"/>
          <w:pgMar w:left="1781" w:right="1781" w:gutter="0" w:header="0" w:top="1416" w:footer="3" w:bottom="1416"/>
          <w:pgNumType w:fmt="decimal"/>
          <w:formProt w:val="false"/>
          <w:textDirection w:val="lrTb"/>
          <w:docGrid w:type="default" w:linePitch="360" w:charSpace="0"/>
        </w:sectPr>
        <w:pStyle w:val="Andere1"/>
        <w:keepNext w:val="false"/>
        <w:keepLines w:val="false"/>
        <w:widowControl w:val="false"/>
        <w:shd w:val="clear" w:color="auto" w:fill="auto"/>
        <w:bidi w:val="0"/>
        <w:spacing w:lineRule="auto" w:line="240" w:before="0" w:after="0"/>
        <w:ind w:left="0" w:right="0" w:hanging="0"/>
        <w:jc w:val="center"/>
        <w:rPr>
          <w:sz w:val="50"/>
          <w:szCs w:val="50"/>
        </w:rPr>
      </w:pPr>
      <w:r>
        <w:rPr>
          <w:color w:val="000000"/>
          <w:spacing w:val="0"/>
          <w:w w:val="100"/>
          <w:sz w:val="50"/>
          <w:szCs w:val="50"/>
          <w:shd w:fill="auto" w:val="clear"/>
          <w:lang w:val="en-US" w:eastAsia="en-US" w:bidi="en-US"/>
        </w:rPr>
        <w:t>SOZIALVERTRAG UND POLITIK</w:t>
        <w:br/>
        <w:t>VERPFLICHTUNG</w:t>
      </w:r>
    </w:p>
    <w:p>
      <w:pPr>
        <w:pStyle w:val="Andere1"/>
        <w:keepNext w:val="false"/>
        <w:keepLines w:val="false"/>
        <w:widowControl w:val="false"/>
        <w:shd w:val="clear" w:color="auto" w:fill="auto"/>
        <w:bidi w:val="0"/>
        <w:spacing w:lineRule="auto" w:line="240" w:before="0" w:after="0"/>
        <w:ind w:left="0" w:right="0" w:hanging="0"/>
        <w:jc w:val="center"/>
        <w:rPr>
          <w:sz w:val="54"/>
          <w:szCs w:val="54"/>
        </w:rPr>
      </w:pPr>
      <w:bookmarkStart w:id="1" w:name="bookmark1"/>
      <w:r>
        <w:rPr>
          <w:b/>
          <w:bCs/>
          <w:color w:val="000000"/>
          <w:spacing w:val="0"/>
          <w:w w:val="100"/>
          <w:sz w:val="54"/>
          <w:szCs w:val="54"/>
          <w:shd w:fill="auto" w:val="clear"/>
          <w:lang w:val="en-US" w:eastAsia="en-US" w:bidi="en-US"/>
        </w:rPr>
        <w:t>SOZIALVERTRAG UND</w:t>
      </w:r>
      <w:bookmarkEnd w:id="1"/>
    </w:p>
    <w:p>
      <w:pPr>
        <w:pStyle w:val="Andere1"/>
        <w:keepNext w:val="false"/>
        <w:keepLines w:val="false"/>
        <w:widowControl w:val="false"/>
        <w:shd w:val="clear" w:color="auto" w:fill="auto"/>
        <w:bidi w:val="0"/>
        <w:spacing w:lineRule="auto" w:line="309" w:before="0" w:after="2340"/>
        <w:ind w:left="0" w:right="0" w:hanging="0"/>
        <w:jc w:val="center"/>
        <w:rPr>
          <w:sz w:val="50"/>
          <w:szCs w:val="50"/>
        </w:rPr>
      </w:pPr>
      <w:r>
        <w:rPr>
          <w:color w:val="000000"/>
          <w:spacing w:val="0"/>
          <w:w w:val="100"/>
          <w:sz w:val="50"/>
          <w:szCs w:val="50"/>
          <w:shd w:fill="auto" w:val="clear"/>
          <w:lang w:val="en-US" w:eastAsia="en-US" w:bidi="en-US"/>
        </w:rPr>
        <w:t>POLITISCHE VERPFLICHTUNG</w:t>
        <w:br/>
        <w:t>Eine Kritik und Neubewertung</w:t>
      </w:r>
    </w:p>
    <w:p>
      <w:pPr>
        <w:pStyle w:val="Andere1"/>
        <w:keepNext w:val="false"/>
        <w:keepLines w:val="false"/>
        <w:widowControl w:val="false"/>
        <w:shd w:val="clear" w:color="auto" w:fill="auto"/>
        <w:bidi w:val="0"/>
        <w:spacing w:lineRule="auto" w:line="240" w:before="0" w:after="6380"/>
        <w:ind w:left="0" w:right="0" w:hanging="0"/>
        <w:jc w:val="center"/>
        <w:rPr>
          <w:sz w:val="42"/>
          <w:szCs w:val="42"/>
        </w:rPr>
      </w:pPr>
      <w:r>
        <w:rPr>
          <w:color w:val="000000"/>
          <w:spacing w:val="0"/>
          <w:w w:val="100"/>
          <w:sz w:val="42"/>
          <w:szCs w:val="42"/>
          <w:shd w:fill="auto" w:val="clear"/>
          <w:lang w:val="en-US" w:eastAsia="en-US" w:bidi="en-US"/>
        </w:rPr>
        <w:t>PETER J. MCCORMICK</w:t>
      </w:r>
    </w:p>
    <w:p>
      <w:pPr>
        <w:pStyle w:val="Normal"/>
        <w:widowControl w:val="false"/>
        <w:pBdr/>
        <w:rPr>
          <w:sz w:val="2"/>
          <w:szCs w:val="2"/>
        </w:rPr>
        <w:framePr w:w="518" w:h="749" w:x="3277" w:y="1" w:hSpace="2107" w:vSpace="0" w:wrap="notBeside" w:vAnchor="text" w:hAnchor="text" w:hRule="exact"/>
        <w:pBdr/>
      </w:pPr>
      <w:r>
        <w:rPr/>
        <w:drawing>
          <wp:inline distT="0" distB="0" distL="0" distR="0">
            <wp:extent cx="328930" cy="475615"/>
            <wp:effectExtent l="0" t="0" r="0" b="0"/>
            <wp:docPr id="5" name="Picutr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utre 4" descr=""/>
                    <pic:cNvPicPr>
                      <a:picLocks noChangeAspect="1" noChangeArrowheads="1"/>
                    </pic:cNvPicPr>
                  </pic:nvPicPr>
                  <pic:blipFill>
                    <a:blip r:embed="rId4"/>
                    <a:stretch>
                      <a:fillRect/>
                    </a:stretch>
                  </pic:blipFill>
                  <pic:spPr bwMode="auto">
                    <a:xfrm>
                      <a:off x="0" y="0"/>
                      <a:ext cx="328930" cy="475615"/>
                    </a:xfrm>
                    <a:prstGeom prst="rect">
                      <a:avLst/>
                    </a:prstGeom>
                  </pic:spPr>
                </pic:pic>
              </a:graphicData>
            </a:graphic>
          </wp:inline>
        </w:drawing>
      </w:r>
    </w:p>
    <w:p>
      <w:pPr>
        <w:pStyle w:val="Normal"/>
        <w:widowControl w:val="false"/>
        <w:spacing w:lineRule="exact" w:line="1"/>
        <w:rPr/>
      </w:pPr>
      <w:r>
        <w:rPr/>
        <mc:AlternateContent>
          <mc:Choice Requires="wps">
            <w:drawing>
              <wp:anchor behindDoc="0" distT="0" distB="0" distL="2079625" distR="2455545" simplePos="0" locked="0" layoutInCell="0" allowOverlap="1" relativeHeight="3">
                <wp:simplePos x="0" y="0"/>
                <wp:positionH relativeFrom="column">
                  <wp:posOffset>2454910</wp:posOffset>
                </wp:positionH>
                <wp:positionV relativeFrom="paragraph">
                  <wp:posOffset>3175</wp:posOffset>
                </wp:positionV>
                <wp:extent cx="1292225" cy="463550"/>
                <wp:effectExtent l="635" t="0" r="0" b="0"/>
                <wp:wrapTopAndBottom/>
                <wp:docPr id="3" name="Shape 5"/>
                <a:graphic xmlns:a="http://schemas.openxmlformats.org/drawingml/2006/main">
                  <a:graphicData uri="http://schemas.microsoft.com/office/word/2010/wordprocessingShape">
                    <wps:wsp>
                      <wps:cNvSpPr/>
                      <wps:spPr>
                        <a:xfrm>
                          <a:off x="0" y="0"/>
                          <a:ext cx="1292400" cy="463680"/>
                        </a:xfrm>
                        <a:prstGeom prst="rect">
                          <a:avLst/>
                        </a:prstGeom>
                        <a:noFill/>
                        <a:ln w="0">
                          <a:noFill/>
                        </a:ln>
                      </wps:spPr>
                      <wps:style>
                        <a:lnRef idx="0"/>
                        <a:fillRef idx="0"/>
                        <a:effectRef idx="0"/>
                        <a:fontRef idx="minor"/>
                      </wps:style>
                      <wps:txbx>
                        <w:txbxContent>
                          <w:p>
                            <w:pPr>
                              <w:pStyle w:val="Bildbeschriftung1"/>
                              <w:keepNext w:val="false"/>
                              <w:keepLines w:val="false"/>
                              <w:widowControl w:val="false"/>
                              <w:shd w:val="clear" w:color="auto" w:fill="auto"/>
                              <w:bidi w:val="0"/>
                              <w:spacing w:lineRule="auto" w:line="240" w:before="0" w:after="0"/>
                              <w:ind w:left="0" w:right="0" w:hanging="0"/>
                              <w:jc w:val="left"/>
                              <w:rPr>
                                <w:sz w:val="38"/>
                                <w:szCs w:val="38"/>
                              </w:rPr>
                            </w:pPr>
                            <w:r>
                              <w:rPr>
                                <w:color w:val="4D4D4D"/>
                                <w:spacing w:val="0"/>
                                <w:w w:val="100"/>
                                <w:sz w:val="38"/>
                                <w:szCs w:val="38"/>
                                <w:shd w:fill="auto" w:val="clear"/>
                              </w:rPr>
                              <w:t>Routledge</w:t>
                            </w:r>
                          </w:p>
                          <w:p>
                            <w:pPr>
                              <w:pStyle w:val="Bildbeschriftung1"/>
                              <w:keepNext w:val="false"/>
                              <w:keepLines w:val="false"/>
                              <w:widowControl w:val="false"/>
                              <w:shd w:val="clear" w:color="auto" w:fill="auto"/>
                              <w:bidi w:val="0"/>
                              <w:spacing w:lineRule="auto" w:line="240" w:before="0" w:after="0"/>
                              <w:ind w:left="0" w:right="0" w:hanging="0"/>
                              <w:jc w:val="left"/>
                              <w:rPr/>
                            </w:pPr>
                            <w:r>
                              <w:rPr>
                                <w:spacing w:val="0"/>
                                <w:w w:val="100"/>
                                <w:shd w:fill="auto" w:val="clear"/>
                              </w:rPr>
                              <w:t xml:space="preserve">I avlor </w:t>
                            </w:r>
                            <w:r>
                              <w:rPr>
                                <w:spacing w:val="0"/>
                                <w:w w:val="100"/>
                                <w:shd w:fill="auto" w:val="clear"/>
                                <w:lang w:val="ru-RU" w:eastAsia="ru-RU" w:bidi="ru-RU"/>
                              </w:rPr>
                              <w:t xml:space="preserve">к </w:t>
                            </w:r>
                            <w:r>
                              <w:rPr>
                                <w:color w:val="000000"/>
                                <w:spacing w:val="0"/>
                                <w:w w:val="100"/>
                                <w:shd w:fill="auto" w:val="clear"/>
                                <w:lang w:val="ru-RU" w:eastAsia="ru-RU" w:bidi="ru-RU"/>
                              </w:rPr>
                              <w:t xml:space="preserve">Г </w:t>
                            </w:r>
                            <w:r>
                              <w:rPr>
                                <w:spacing w:val="0"/>
                                <w:w w:val="100"/>
                                <w:shd w:fill="auto" w:val="clear"/>
                                <w:lang w:val="ru-RU" w:eastAsia="ru-RU" w:bidi="ru-RU"/>
                              </w:rPr>
                              <w:t xml:space="preserve">га </w:t>
                            </w:r>
                            <w:r>
                              <w:rPr>
                                <w:b/>
                                <w:bCs/>
                                <w:smallCaps/>
                                <w:spacing w:val="0"/>
                                <w:w w:val="100"/>
                                <w:sz w:val="13"/>
                                <w:szCs w:val="13"/>
                                <w:shd w:fill="auto" w:val="clear"/>
                                <w:lang w:val="en-US" w:eastAsia="en-US" w:bidi="en-US"/>
                              </w:rPr>
                              <w:t>Oil</w:t>
                            </w:r>
                            <w:r>
                              <w:rPr>
                                <w:spacing w:val="0"/>
                                <w:w w:val="100"/>
                                <w:shd w:fill="auto" w:val="clear"/>
                                <w:lang w:val="en-US" w:eastAsia="en-US" w:bidi="en-US"/>
                              </w:rPr>
                              <w:t xml:space="preserve"> IS Croup</w:t>
                            </w:r>
                          </w:p>
                        </w:txbxContent>
                      </wps:txbx>
                      <wps:bodyPr lIns="0" rIns="0" tIns="0" bIns="0" anchor="t">
                        <a:noAutofit/>
                      </wps:bodyPr>
                    </wps:wsp>
                  </a:graphicData>
                </a:graphic>
              </wp:anchor>
            </w:drawing>
          </mc:Choice>
          <mc:Fallback>
            <w:pict>
              <v:rect id="shape_0" ID="Shape 5" path="m0,0l-2147483645,0l-2147483645,-2147483646l0,-2147483646xe" stroked="f" o:allowincell="f" style="position:absolute;margin-left:193.3pt;margin-top:0.25pt;width:101.7pt;height:36.45pt;mso-wrap-style:square;v-text-anchor:top">
                <v:fill o:detectmouseclick="t" on="false"/>
                <v:stroke color="#3465a4" joinstyle="round" endcap="flat"/>
                <v:textbox>
                  <w:txbxContent>
                    <w:p>
                      <w:pPr>
                        <w:pStyle w:val="Bildbeschriftung1"/>
                        <w:keepNext w:val="false"/>
                        <w:keepLines w:val="false"/>
                        <w:widowControl w:val="false"/>
                        <w:shd w:val="clear" w:color="auto" w:fill="auto"/>
                        <w:bidi w:val="0"/>
                        <w:spacing w:lineRule="auto" w:line="240" w:before="0" w:after="0"/>
                        <w:ind w:left="0" w:right="0" w:hanging="0"/>
                        <w:jc w:val="left"/>
                        <w:rPr>
                          <w:sz w:val="38"/>
                          <w:szCs w:val="38"/>
                        </w:rPr>
                      </w:pPr>
                      <w:r>
                        <w:rPr>
                          <w:color w:val="4D4D4D"/>
                          <w:spacing w:val="0"/>
                          <w:w w:val="100"/>
                          <w:sz w:val="38"/>
                          <w:szCs w:val="38"/>
                          <w:shd w:fill="auto" w:val="clear"/>
                        </w:rPr>
                        <w:t>Routledge</w:t>
                      </w:r>
                    </w:p>
                    <w:p>
                      <w:pPr>
                        <w:pStyle w:val="Bildbeschriftung1"/>
                        <w:keepNext w:val="false"/>
                        <w:keepLines w:val="false"/>
                        <w:widowControl w:val="false"/>
                        <w:shd w:val="clear" w:color="auto" w:fill="auto"/>
                        <w:bidi w:val="0"/>
                        <w:spacing w:lineRule="auto" w:line="240" w:before="0" w:after="0"/>
                        <w:ind w:left="0" w:right="0" w:hanging="0"/>
                        <w:jc w:val="left"/>
                        <w:rPr/>
                      </w:pPr>
                      <w:r>
                        <w:rPr>
                          <w:spacing w:val="0"/>
                          <w:w w:val="100"/>
                          <w:shd w:fill="auto" w:val="clear"/>
                        </w:rPr>
                        <w:t xml:space="preserve">I avlor </w:t>
                      </w:r>
                      <w:r>
                        <w:rPr>
                          <w:spacing w:val="0"/>
                          <w:w w:val="100"/>
                          <w:shd w:fill="auto" w:val="clear"/>
                          <w:lang w:val="ru-RU" w:eastAsia="ru-RU" w:bidi="ru-RU"/>
                        </w:rPr>
                        <w:t xml:space="preserve">к </w:t>
                      </w:r>
                      <w:r>
                        <w:rPr>
                          <w:color w:val="000000"/>
                          <w:spacing w:val="0"/>
                          <w:w w:val="100"/>
                          <w:shd w:fill="auto" w:val="clear"/>
                          <w:lang w:val="ru-RU" w:eastAsia="ru-RU" w:bidi="ru-RU"/>
                        </w:rPr>
                        <w:t xml:space="preserve">Г </w:t>
                      </w:r>
                      <w:r>
                        <w:rPr>
                          <w:spacing w:val="0"/>
                          <w:w w:val="100"/>
                          <w:shd w:fill="auto" w:val="clear"/>
                          <w:lang w:val="ru-RU" w:eastAsia="ru-RU" w:bidi="ru-RU"/>
                        </w:rPr>
                        <w:t xml:space="preserve">га </w:t>
                      </w:r>
                      <w:r>
                        <w:rPr>
                          <w:b/>
                          <w:bCs/>
                          <w:smallCaps/>
                          <w:spacing w:val="0"/>
                          <w:w w:val="100"/>
                          <w:sz w:val="13"/>
                          <w:szCs w:val="13"/>
                          <w:shd w:fill="auto" w:val="clear"/>
                          <w:lang w:val="en-US" w:eastAsia="en-US" w:bidi="en-US"/>
                        </w:rPr>
                        <w:t>Oil</w:t>
                      </w:r>
                      <w:r>
                        <w:rPr>
                          <w:spacing w:val="0"/>
                          <w:w w:val="100"/>
                          <w:shd w:fill="auto" w:val="clear"/>
                          <w:lang w:val="en-US" w:eastAsia="en-US" w:bidi="en-US"/>
                        </w:rPr>
                        <w:t xml:space="preserve"> IS Croup</w:t>
                      </w:r>
                    </w:p>
                  </w:txbxContent>
                </v:textbox>
                <w10:wrap type="topAndBottom"/>
              </v:rect>
            </w:pict>
          </mc:Fallback>
        </mc:AlternateContent>
      </w:r>
    </w:p>
    <w:p>
      <w:pPr>
        <w:pStyle w:val="Flietext21"/>
        <w:keepNext w:val="false"/>
        <w:keepLines w:val="false"/>
        <w:widowControl w:val="false"/>
        <w:shd w:val="clear" w:color="auto" w:fill="auto"/>
        <w:bidi w:val="0"/>
        <w:spacing w:lineRule="auto" w:line="240" w:before="0" w:after="100"/>
        <w:ind w:left="0" w:right="0" w:hanging="0"/>
        <w:jc w:val="left"/>
        <w:rPr/>
      </w:pPr>
      <w:bookmarkStart w:id="2" w:name="bookmark2"/>
      <w:r>
        <w:rPr>
          <w:color w:val="000000"/>
          <w:spacing w:val="0"/>
          <w:w w:val="100"/>
          <w:shd w:fill="auto" w:val="clear"/>
          <w:lang w:val="en-US" w:eastAsia="en-US" w:bidi="en-US"/>
        </w:rPr>
        <w:t>Erstveröffentlichung 1987 von Garland Publishing, Inc.</w:t>
      </w:r>
      <w:bookmarkEnd w:id="2"/>
    </w:p>
    <w:p>
      <w:pPr>
        <w:pStyle w:val="Flietext21"/>
        <w:keepNext w:val="false"/>
        <w:keepLines w:val="false"/>
        <w:widowControl w:val="false"/>
        <w:shd w:val="clear" w:color="auto" w:fill="auto"/>
        <w:bidi w:val="0"/>
        <w:spacing w:lineRule="auto" w:line="240" w:before="0" w:after="0"/>
        <w:ind w:left="0" w:right="0" w:hanging="0"/>
        <w:jc w:val="left"/>
        <w:rPr/>
      </w:pPr>
      <w:r>
        <w:rPr>
          <w:color w:val="000000"/>
          <w:spacing w:val="0"/>
          <w:w w:val="100"/>
          <w:shd w:fill="auto" w:val="clear"/>
          <w:lang w:val="en-US" w:eastAsia="en-US" w:bidi="en-US"/>
        </w:rPr>
        <w:t>Diese Ausgabe wurde erstmals 2020 veröffentlicht</w:t>
      </w:r>
    </w:p>
    <w:p>
      <w:pPr>
        <w:pStyle w:val="Flietext21"/>
        <w:keepNext w:val="false"/>
        <w:keepLines w:val="false"/>
        <w:widowControl w:val="false"/>
        <w:shd w:val="clear" w:color="auto" w:fill="auto"/>
        <w:bidi w:val="0"/>
        <w:spacing w:lineRule="auto" w:line="240" w:before="0" w:after="0"/>
        <w:ind w:left="0" w:right="0" w:hanging="0"/>
        <w:jc w:val="left"/>
        <w:rPr/>
      </w:pPr>
      <w:r>
        <w:rPr>
          <w:color w:val="000000"/>
          <w:spacing w:val="0"/>
          <w:w w:val="100"/>
          <w:shd w:fill="auto" w:val="clear"/>
          <w:lang w:val="en-US" w:eastAsia="en-US" w:bidi="en-US"/>
        </w:rPr>
        <w:t>von Routledge</w:t>
      </w:r>
    </w:p>
    <w:p>
      <w:pPr>
        <w:pStyle w:val="Flietext21"/>
        <w:keepNext w:val="false"/>
        <w:keepLines w:val="false"/>
        <w:widowControl w:val="false"/>
        <w:shd w:val="clear" w:color="auto" w:fill="auto"/>
        <w:bidi w:val="0"/>
        <w:spacing w:lineRule="auto" w:line="240" w:before="0" w:after="100"/>
        <w:ind w:left="0" w:right="0" w:hanging="0"/>
        <w:jc w:val="left"/>
        <w:rPr/>
      </w:pPr>
      <w:r>
        <w:rPr>
          <w:color w:val="000000"/>
          <w:spacing w:val="0"/>
          <w:w w:val="100"/>
          <w:shd w:fill="auto" w:val="clear"/>
          <w:lang w:val="en-US" w:eastAsia="en-US" w:bidi="en-US"/>
        </w:rPr>
        <w:t>2 Parkplatz, Milton Park, Abingdon, Oxon OX14 4RN</w:t>
      </w:r>
    </w:p>
    <w:p>
      <w:pPr>
        <w:pStyle w:val="Flietext21"/>
        <w:keepNext w:val="false"/>
        <w:keepLines w:val="false"/>
        <w:widowControl w:val="false"/>
        <w:shd w:val="clear" w:color="auto" w:fill="auto"/>
        <w:bidi w:val="0"/>
        <w:spacing w:lineRule="auto" w:line="240" w:before="0" w:after="0"/>
        <w:ind w:left="0" w:right="0" w:hanging="0"/>
        <w:jc w:val="left"/>
        <w:rPr/>
      </w:pPr>
      <w:r>
        <w:rPr>
          <w:color w:val="000000"/>
          <w:spacing w:val="0"/>
          <w:w w:val="100"/>
          <w:shd w:fill="auto" w:val="clear"/>
          <w:lang w:val="en-US" w:eastAsia="en-US" w:bidi="en-US"/>
        </w:rPr>
        <w:t>und von Routledge</w:t>
      </w:r>
    </w:p>
    <w:p>
      <w:pPr>
        <w:pStyle w:val="Flietext21"/>
        <w:keepNext w:val="false"/>
        <w:keepLines w:val="false"/>
        <w:widowControl w:val="false"/>
        <w:shd w:val="clear" w:color="auto" w:fill="auto"/>
        <w:bidi w:val="0"/>
        <w:spacing w:lineRule="auto" w:line="240" w:before="0" w:after="100"/>
        <w:ind w:left="0" w:right="0" w:hanging="0"/>
        <w:jc w:val="left"/>
        <w:rPr/>
      </w:pPr>
      <w:r>
        <w:rPr>
          <w:color w:val="000000"/>
          <w:spacing w:val="0"/>
          <w:w w:val="100"/>
          <w:shd w:fill="auto" w:val="clear"/>
          <w:lang w:val="en-US" w:eastAsia="en-US" w:bidi="en-US"/>
        </w:rPr>
        <w:t>52 Vanderbilt Avenue, New York, NY 10017</w:t>
      </w:r>
    </w:p>
    <w:p>
      <w:pPr>
        <w:pStyle w:val="Flietext21"/>
        <w:keepNext w:val="false"/>
        <w:keepLines w:val="false"/>
        <w:widowControl w:val="false"/>
        <w:shd w:val="clear" w:color="auto" w:fill="auto"/>
        <w:bidi w:val="0"/>
        <w:spacing w:lineRule="auto" w:line="240" w:before="0" w:after="100"/>
        <w:ind w:left="0" w:right="0" w:hanging="0"/>
        <w:jc w:val="left"/>
        <w:rPr/>
      </w:pPr>
      <w:r>
        <w:rPr>
          <w:i/>
          <w:iCs/>
          <w:color w:val="000000"/>
          <w:spacing w:val="0"/>
          <w:w w:val="100"/>
          <w:shd w:fill="auto" w:val="clear"/>
          <w:lang w:val="en-US" w:eastAsia="en-US" w:bidi="en-US"/>
        </w:rPr>
        <w:t>Routledge ist ein Imprint der Taylor &amp; Francis Group, einem Informationsunternehmen</w:t>
      </w:r>
    </w:p>
    <w:p>
      <w:pPr>
        <w:pStyle w:val="Flietext21"/>
        <w:keepNext w:val="false"/>
        <w:keepLines w:val="false"/>
        <w:widowControl w:val="false"/>
        <w:shd w:val="clear" w:color="auto" w:fill="auto"/>
        <w:bidi w:val="0"/>
        <w:spacing w:lineRule="auto" w:line="240" w:before="0" w:after="100"/>
        <w:ind w:left="0" w:right="0" w:hanging="0"/>
        <w:jc w:val="left"/>
        <w:rPr/>
      </w:pPr>
      <w:r>
        <w:rPr>
          <w:color w:val="000000"/>
          <w:spacing w:val="0"/>
          <w:w w:val="100"/>
          <w:shd w:fill="auto" w:val="clear"/>
          <w:lang w:val="en-US" w:eastAsia="en-US" w:bidi="en-US"/>
        </w:rPr>
        <w:t>© 1987 Peter James McCormick</w:t>
      </w:r>
    </w:p>
    <w:p>
      <w:pPr>
        <w:pStyle w:val="Flietext21"/>
        <w:keepNext w:val="false"/>
        <w:keepLines w:val="false"/>
        <w:widowControl w:val="false"/>
        <w:shd w:val="clear" w:color="auto" w:fill="auto"/>
        <w:bidi w:val="0"/>
        <w:spacing w:lineRule="auto" w:line="240" w:before="0" w:after="100"/>
        <w:ind w:left="0" w:right="0" w:hanging="0"/>
        <w:jc w:val="left"/>
        <w:rPr/>
      </w:pPr>
      <w:r>
        <w:rPr>
          <w:color w:val="000000"/>
          <w:spacing w:val="0"/>
          <w:w w:val="100"/>
          <w:shd w:fill="auto" w:val="clear"/>
          <w:lang w:val="en-US" w:eastAsia="en-US" w:bidi="en-US"/>
        </w:rPr>
        <w:t>Alle Rechte vorbehalten. Kein Teil dieses Buches darf ohne schriftliche Genehmigung in irgendeiner Form oder durch elektronische, mechanische oder andere Mittel, die jetzt bekannt sind oder später erfunden werden, einschließlich Fotokopieren und Aufzeichnen, oder in einem Informationsspeicher- oder -abrufsystem nachgedruckt oder reproduziert oder verwendet werden von den Verlagen.</w:t>
      </w:r>
    </w:p>
    <w:p>
      <w:pPr>
        <w:pStyle w:val="Flietext21"/>
        <w:keepNext w:val="false"/>
        <w:keepLines w:val="false"/>
        <w:widowControl w:val="false"/>
        <w:shd w:val="clear" w:color="auto" w:fill="auto"/>
        <w:bidi w:val="0"/>
        <w:spacing w:lineRule="auto" w:line="240" w:before="0" w:after="100"/>
        <w:ind w:left="0" w:right="0" w:hanging="0"/>
        <w:jc w:val="left"/>
        <w:rPr/>
      </w:pPr>
      <w:r>
        <w:rPr>
          <w:color w:val="000000"/>
          <w:spacing w:val="0"/>
          <w:w w:val="100"/>
          <w:shd w:fill="auto" w:val="clear"/>
          <w:lang w:val="en-US" w:eastAsia="en-US" w:bidi="en-US"/>
        </w:rPr>
        <w:t>Warenzeichenhinweis: Produkt- oder Firmennamen können Warenzeichen oder eingetragene Warenzeichen sein und werden nur zur Identifizierung und Erklärung ohne die Absicht verwendet, Rechte zu verletzen.</w:t>
      </w:r>
    </w:p>
    <w:p>
      <w:pPr>
        <w:pStyle w:val="Flietext21"/>
        <w:keepNext w:val="false"/>
        <w:keepLines w:val="false"/>
        <w:widowControl w:val="false"/>
        <w:shd w:val="clear" w:color="auto" w:fill="auto"/>
        <w:bidi w:val="0"/>
        <w:spacing w:lineRule="auto" w:line="240" w:before="0" w:after="0"/>
        <w:ind w:left="0" w:right="0" w:hanging="0"/>
        <w:jc w:val="left"/>
        <w:rPr/>
      </w:pPr>
      <w:r>
        <w:rPr>
          <w:i/>
          <w:iCs/>
          <w:color w:val="000000"/>
          <w:spacing w:val="0"/>
          <w:w w:val="100"/>
          <w:shd w:fill="auto" w:val="clear"/>
          <w:lang w:val="en-US" w:eastAsia="en-US" w:bidi="en-US"/>
        </w:rPr>
        <w:t>Katalogisierung der British Library in Publikationsdaten</w:t>
      </w:r>
    </w:p>
    <w:p>
      <w:pPr>
        <w:pStyle w:val="Flietext21"/>
        <w:keepNext w:val="false"/>
        <w:keepLines w:val="false"/>
        <w:widowControl w:val="false"/>
        <w:shd w:val="clear" w:color="auto" w:fill="auto"/>
        <w:bidi w:val="0"/>
        <w:spacing w:lineRule="auto" w:line="240" w:before="0" w:after="100"/>
        <w:ind w:left="0" w:right="0" w:hanging="0"/>
        <w:jc w:val="left"/>
        <w:rPr/>
      </w:pPr>
      <w:r>
        <w:rPr>
          <w:color w:val="000000"/>
          <w:spacing w:val="0"/>
          <w:w w:val="100"/>
          <w:shd w:fill="auto" w:val="clear"/>
          <w:lang w:val="en-US" w:eastAsia="en-US" w:bidi="en-US"/>
        </w:rPr>
        <w:t>Ein Katalogeintrag für dieses Buch ist bei der British Library erhältlich</w:t>
      </w:r>
    </w:p>
    <w:p>
      <w:pPr>
        <w:pStyle w:val="Flietext21"/>
        <w:keepNext w:val="false"/>
        <w:keepLines w:val="false"/>
        <w:widowControl w:val="false"/>
        <w:shd w:val="clear" w:color="auto" w:fill="auto"/>
        <w:bidi w:val="0"/>
        <w:spacing w:lineRule="auto" w:line="240" w:before="0" w:after="0"/>
        <w:ind w:left="0" w:right="0" w:hanging="0"/>
        <w:jc w:val="left"/>
        <w:rPr/>
      </w:pPr>
      <w:r>
        <w:rPr>
          <w:color w:val="000000"/>
          <w:spacing w:val="0"/>
          <w:w w:val="100"/>
          <w:shd w:fill="auto" w:val="clear"/>
          <w:lang w:val="en-US" w:eastAsia="en-US" w:bidi="en-US"/>
        </w:rPr>
        <w:t>ISBN: 978-0-367-21961-1 (Satz)</w:t>
      </w:r>
    </w:p>
    <w:p>
      <w:pPr>
        <w:pStyle w:val="Flietext21"/>
        <w:keepNext w:val="false"/>
        <w:keepLines w:val="false"/>
        <w:widowControl w:val="false"/>
        <w:shd w:val="clear" w:color="auto" w:fill="auto"/>
        <w:bidi w:val="0"/>
        <w:spacing w:lineRule="auto" w:line="240" w:before="0" w:after="0"/>
        <w:ind w:left="0" w:right="0" w:hanging="0"/>
        <w:jc w:val="left"/>
        <w:rPr/>
      </w:pPr>
      <w:r>
        <w:rPr>
          <w:color w:val="000000"/>
          <w:spacing w:val="0"/>
          <w:w w:val="100"/>
          <w:shd w:fill="auto" w:val="clear"/>
          <w:lang w:val="en-US" w:eastAsia="en-US" w:bidi="en-US"/>
        </w:rPr>
        <w:t>ISBN: 978-0-429-35434-2 (Satz) (ebk)</w:t>
      </w:r>
    </w:p>
    <w:p>
      <w:pPr>
        <w:pStyle w:val="Flietext21"/>
        <w:keepNext w:val="false"/>
        <w:keepLines w:val="false"/>
        <w:widowControl w:val="false"/>
        <w:shd w:val="clear" w:color="auto" w:fill="auto"/>
        <w:bidi w:val="0"/>
        <w:spacing w:lineRule="auto" w:line="240" w:before="0" w:after="0"/>
        <w:ind w:left="0" w:right="0" w:hanging="0"/>
        <w:jc w:val="left"/>
        <w:rPr/>
      </w:pPr>
      <w:r>
        <w:rPr>
          <w:color w:val="000000"/>
          <w:spacing w:val="0"/>
          <w:w w:val="100"/>
          <w:shd w:fill="auto" w:val="clear"/>
          <w:lang w:val="en-US" w:eastAsia="en-US" w:bidi="en-US"/>
        </w:rPr>
        <w:t>ISBN: 978-0-367-23420-1 (Band 38) (hbk)</w:t>
      </w:r>
    </w:p>
    <w:p>
      <w:pPr>
        <w:pStyle w:val="Flietext21"/>
        <w:keepNext w:val="false"/>
        <w:keepLines w:val="false"/>
        <w:widowControl w:val="false"/>
        <w:shd w:val="clear" w:color="auto" w:fill="auto"/>
        <w:bidi w:val="0"/>
        <w:spacing w:lineRule="auto" w:line="240" w:before="0" w:after="100"/>
        <w:ind w:left="0" w:right="0" w:hanging="0"/>
        <w:jc w:val="left"/>
        <w:rPr/>
      </w:pPr>
      <w:r>
        <w:rPr>
          <w:color w:val="000000"/>
          <w:spacing w:val="0"/>
          <w:w w:val="100"/>
          <w:shd w:fill="auto" w:val="clear"/>
          <w:lang w:val="en-US" w:eastAsia="en-US" w:bidi="en-US"/>
        </w:rPr>
        <w:t>ISBN: 978-0-429-27998-0 (Volume 38) (ebk)</w:t>
      </w:r>
    </w:p>
    <w:p>
      <w:pPr>
        <w:pStyle w:val="Flietext21"/>
        <w:keepNext w:val="false"/>
        <w:keepLines w:val="false"/>
        <w:widowControl w:val="false"/>
        <w:shd w:val="clear" w:color="auto" w:fill="auto"/>
        <w:bidi w:val="0"/>
        <w:spacing w:lineRule="auto" w:line="240" w:before="0" w:after="0"/>
        <w:ind w:left="0" w:right="0" w:hanging="0"/>
        <w:jc w:val="left"/>
        <w:rPr/>
      </w:pPr>
      <w:r>
        <w:rPr>
          <w:b/>
          <w:bCs/>
          <w:color w:val="000000"/>
          <w:spacing w:val="0"/>
          <w:w w:val="100"/>
          <w:shd w:fill="auto" w:val="clear"/>
          <w:lang w:val="en-US" w:eastAsia="en-US" w:bidi="en-US"/>
        </w:rPr>
        <w:t>Anmerkung des Herausgebers</w:t>
      </w:r>
    </w:p>
    <w:p>
      <w:pPr>
        <w:pStyle w:val="Flietext21"/>
        <w:keepNext w:val="false"/>
        <w:keepLines w:val="false"/>
        <w:widowControl w:val="false"/>
        <w:shd w:val="clear" w:color="auto" w:fill="auto"/>
        <w:bidi w:val="0"/>
        <w:spacing w:lineRule="auto" w:line="240" w:before="0" w:after="100"/>
        <w:ind w:left="0" w:right="0" w:hanging="0"/>
        <w:jc w:val="left"/>
        <w:rPr/>
      </w:pPr>
      <w:r>
        <w:rPr>
          <w:color w:val="000000"/>
          <w:spacing w:val="0"/>
          <w:w w:val="100"/>
          <w:shd w:fill="auto" w:val="clear"/>
          <w:lang w:val="en-US" w:eastAsia="en-US" w:bidi="en-US"/>
        </w:rPr>
        <w:t>Der Herausgeber hat große Anstrengungen unternommen, um die Qualität dieses Nachdrucks zu gewährleisten, weist jedoch darauf hin, dass einige Mängel in den Originalkopien offensichtlich sein können.</w:t>
      </w:r>
    </w:p>
    <w:p>
      <w:pPr>
        <w:pStyle w:val="Flietext21"/>
        <w:keepNext w:val="false"/>
        <w:keepLines w:val="false"/>
        <w:widowControl w:val="false"/>
        <w:shd w:val="clear" w:color="auto" w:fill="auto"/>
        <w:bidi w:val="0"/>
        <w:spacing w:lineRule="auto" w:line="240" w:before="0" w:after="0"/>
        <w:ind w:left="0" w:right="0" w:hanging="0"/>
        <w:jc w:val="left"/>
        <w:rPr/>
      </w:pPr>
      <w:r>
        <w:rPr>
          <w:b/>
          <w:bCs/>
          <w:color w:val="000000"/>
          <w:spacing w:val="0"/>
          <w:w w:val="100"/>
          <w:shd w:fill="auto" w:val="clear"/>
          <w:lang w:val="en-US" w:eastAsia="en-US" w:bidi="en-US"/>
        </w:rPr>
        <w:t>Haftungsausschluss</w:t>
      </w:r>
    </w:p>
    <w:p>
      <w:pPr>
        <w:sectPr>
          <w:footerReference w:type="even" r:id="rId5"/>
          <w:footerReference w:type="default" r:id="rId6"/>
          <w:type w:val="nextPage"/>
          <w:pgSz w:w="12240" w:h="15840"/>
          <w:pgMar w:left="1493" w:right="1570" w:gutter="0" w:header="0" w:top="1418" w:footer="3" w:bottom="2048"/>
          <w:pgNumType w:fmt="decimal"/>
          <w:formProt w:val="false"/>
          <w:textDirection w:val="lrTb"/>
          <w:docGrid w:type="default" w:linePitch="360" w:charSpace="0"/>
        </w:sectPr>
        <w:pStyle w:val="Flietext21"/>
        <w:keepNext w:val="false"/>
        <w:keepLines w:val="false"/>
        <w:widowControl w:val="false"/>
        <w:shd w:val="clear" w:color="auto" w:fill="auto"/>
        <w:bidi w:val="0"/>
        <w:spacing w:lineRule="auto" w:line="240" w:before="0" w:after="100"/>
        <w:ind w:left="0" w:right="0" w:hanging="0"/>
        <w:jc w:val="left"/>
        <w:rPr/>
      </w:pPr>
      <w:r>
        <w:rPr>
          <w:color w:val="000000"/>
          <w:spacing w:val="0"/>
          <w:w w:val="100"/>
          <w:shd w:fill="auto" w:val="clear"/>
          <w:lang w:val="en-US" w:eastAsia="en-US" w:bidi="en-US"/>
        </w:rPr>
        <w:t>Der Herausgeber hat alle Anstrengungen unternommen, um Urheberrechtsinhaber ausfindig zu machen, und würde eine Korrespondenz von denen begrüßen, die er nicht ausfindig machen konnte.</w:t>
      </w:r>
    </w:p>
    <w:p>
      <w:pPr>
        <w:pStyle w:val="Andere1"/>
        <w:keepNext w:val="false"/>
        <w:keepLines w:val="false"/>
        <w:widowControl w:val="false"/>
        <w:shd w:val="clear" w:color="auto" w:fill="auto"/>
        <w:bidi w:val="0"/>
        <w:spacing w:lineRule="auto" w:line="240" w:before="0" w:after="0"/>
        <w:ind w:left="0" w:right="0" w:hanging="0"/>
        <w:jc w:val="center"/>
        <w:rPr>
          <w:sz w:val="42"/>
          <w:szCs w:val="42"/>
        </w:rPr>
      </w:pPr>
      <w:bookmarkStart w:id="3" w:name="bookmark3"/>
      <w:r>
        <w:rPr>
          <w:color w:val="000000"/>
          <w:spacing w:val="0"/>
          <w:w w:val="100"/>
          <w:sz w:val="42"/>
          <w:szCs w:val="42"/>
          <w:shd w:fill="auto" w:val="clear"/>
          <w:lang w:val="en-US" w:eastAsia="en-US" w:bidi="en-US"/>
        </w:rPr>
        <w:t>SOZIALVERTRAG UND</w:t>
      </w:r>
      <w:bookmarkEnd w:id="3"/>
    </w:p>
    <w:p>
      <w:pPr>
        <w:pStyle w:val="Andere1"/>
        <w:keepNext w:val="false"/>
        <w:keepLines w:val="false"/>
        <w:widowControl w:val="false"/>
        <w:pBdr>
          <w:bottom w:val="single" w:sz="4" w:space="0" w:color="000000"/>
        </w:pBdr>
        <w:shd w:val="clear" w:color="auto" w:fill="auto"/>
        <w:bidi w:val="0"/>
        <w:spacing w:lineRule="auto" w:line="240" w:before="0" w:after="0"/>
        <w:ind w:left="0" w:right="0" w:hanging="0"/>
        <w:jc w:val="center"/>
        <w:rPr>
          <w:sz w:val="42"/>
          <w:szCs w:val="42"/>
        </w:rPr>
      </w:pPr>
      <w:r>
        <w:rPr>
          <w:color w:val="000000"/>
          <w:spacing w:val="0"/>
          <w:w w:val="100"/>
          <w:sz w:val="42"/>
          <w:szCs w:val="42"/>
          <w:shd w:fill="auto" w:val="clear"/>
          <w:lang w:val="en-US" w:eastAsia="en-US" w:bidi="en-US"/>
        </w:rPr>
        <w:t>POLITISCHE VERPFLICHTUNG</w:t>
      </w:r>
    </w:p>
    <w:p>
      <w:pPr>
        <w:pStyle w:val="Andere1"/>
        <w:keepNext w:val="false"/>
        <w:keepLines w:val="false"/>
        <w:widowControl w:val="false"/>
        <w:shd w:val="clear" w:color="auto" w:fill="auto"/>
        <w:bidi w:val="0"/>
        <w:spacing w:lineRule="auto" w:line="240" w:before="0" w:after="2120"/>
        <w:ind w:left="0" w:right="0" w:hanging="0"/>
        <w:jc w:val="center"/>
        <w:rPr>
          <w:sz w:val="42"/>
          <w:szCs w:val="42"/>
        </w:rPr>
      </w:pPr>
      <w:r>
        <w:rPr>
          <w:color w:val="000000"/>
          <w:spacing w:val="0"/>
          <w:w w:val="100"/>
          <w:sz w:val="42"/>
          <w:szCs w:val="42"/>
          <w:shd w:fill="auto" w:val="clear"/>
          <w:lang w:val="en-US" w:eastAsia="en-US" w:bidi="en-US"/>
        </w:rPr>
        <w:t>Eine Kritik und Neubewertung</w:t>
      </w:r>
    </w:p>
    <w:p>
      <w:pPr>
        <w:pStyle w:val="Andere1"/>
        <w:keepNext w:val="false"/>
        <w:keepLines w:val="false"/>
        <w:widowControl w:val="false"/>
        <w:shd w:val="clear" w:color="auto" w:fill="auto"/>
        <w:bidi w:val="0"/>
        <w:spacing w:lineRule="auto" w:line="240" w:before="0" w:after="3440"/>
        <w:ind w:left="0" w:right="0" w:hanging="0"/>
        <w:jc w:val="center"/>
        <w:rPr>
          <w:sz w:val="32"/>
          <w:szCs w:val="32"/>
        </w:rPr>
      </w:pPr>
      <w:r>
        <w:rPr>
          <w:color w:val="000000"/>
          <w:spacing w:val="0"/>
          <w:w w:val="100"/>
          <w:sz w:val="32"/>
          <w:szCs w:val="32"/>
          <w:shd w:fill="auto" w:val="clear"/>
          <w:lang w:val="en-US" w:eastAsia="en-US" w:bidi="en-US"/>
        </w:rPr>
        <w:t>Peter J. McCormick</w:t>
      </w:r>
    </w:p>
    <w:p>
      <w:pPr>
        <w:pStyle w:val="Normal"/>
        <w:widowControl w:val="false"/>
        <w:jc w:val="center"/>
        <w:rPr>
          <w:sz w:val="2"/>
          <w:szCs w:val="2"/>
        </w:rPr>
      </w:pPr>
      <w:r>
        <w:rPr/>
      </w:r>
    </w:p>
    <w:p>
      <w:pPr>
        <w:pStyle w:val="Andere1"/>
        <w:keepNext w:val="false"/>
        <w:keepLines w:val="false"/>
        <w:widowControl w:val="false"/>
        <w:shd w:val="clear" w:color="auto" w:fill="auto"/>
        <w:bidi w:val="0"/>
        <w:spacing w:lineRule="auto" w:line="240" w:before="0" w:after="0"/>
        <w:ind w:left="0" w:right="0" w:hanging="0"/>
        <w:jc w:val="center"/>
        <w:rPr>
          <w:sz w:val="32"/>
          <w:szCs w:val="32"/>
        </w:rPr>
      </w:pPr>
      <w:r>
        <w:rPr>
          <w:i/>
          <w:iCs/>
          <w:color w:val="4D4D4D"/>
          <w:spacing w:val="0"/>
          <w:w w:val="100"/>
          <w:sz w:val="32"/>
          <w:szCs w:val="32"/>
          <w:shd w:fill="auto" w:val="clear"/>
          <w:lang w:val="en-US" w:eastAsia="en-US" w:bidi="en-US"/>
        </w:rPr>
        <w:t>Garland Publishing, Inc, New JbrJt &amp; London</w:t>
      </w:r>
    </w:p>
    <w:p>
      <w:pPr>
        <w:sectPr>
          <w:footerReference w:type="even" r:id="rId7"/>
          <w:footerReference w:type="default" r:id="rId8"/>
          <w:type w:val="nextPage"/>
          <w:pgSz w:w="12240" w:h="15840"/>
          <w:pgMar w:left="1493" w:right="1570" w:gutter="0" w:header="0" w:top="1426" w:footer="998" w:bottom="1426"/>
          <w:pgNumType w:fmt="decimal"/>
          <w:formProt w:val="false"/>
          <w:textDirection w:val="lrTb"/>
          <w:docGrid w:type="default" w:linePitch="360" w:charSpace="0"/>
        </w:sectPr>
        <w:pStyle w:val="Andere1"/>
        <w:keepNext w:val="false"/>
        <w:keepLines w:val="false"/>
        <w:widowControl w:val="false"/>
        <w:shd w:val="clear" w:color="auto" w:fill="auto"/>
        <w:bidi w:val="0"/>
        <w:spacing w:lineRule="auto" w:line="240" w:before="0" w:after="0"/>
        <w:ind w:left="0" w:right="0" w:hanging="0"/>
        <w:jc w:val="center"/>
        <w:rPr>
          <w:sz w:val="32"/>
          <w:szCs w:val="32"/>
        </w:rPr>
      </w:pPr>
      <w:r>
        <w:rPr>
          <w:i/>
          <w:iCs/>
          <w:color w:val="4D4D4D"/>
          <w:spacing w:val="0"/>
          <w:w w:val="100"/>
          <w:sz w:val="32"/>
          <w:szCs w:val="32"/>
          <w:shd w:fill="auto" w:val="clear"/>
          <w:lang w:val="en-US" w:eastAsia="en-US" w:bidi="en-US"/>
        </w:rPr>
        <w:t>1987</w:t>
      </w:r>
    </w:p>
    <w:p>
      <w:pPr>
        <w:pStyle w:val="Flietext21"/>
        <w:keepNext w:val="false"/>
        <w:keepLines w:val="false"/>
        <w:widowControl w:val="false"/>
        <w:shd w:val="clear" w:color="auto" w:fill="auto"/>
        <w:bidi w:val="0"/>
        <w:spacing w:lineRule="auto" w:line="240" w:before="0" w:after="420"/>
        <w:ind w:left="0" w:right="0" w:hanging="0"/>
        <w:jc w:val="center"/>
        <w:rPr/>
      </w:pPr>
      <w:bookmarkStart w:id="4" w:name="bookmark4"/>
      <w:r>
        <w:rPr>
          <w:color w:val="000000"/>
          <w:spacing w:val="0"/>
          <w:w w:val="100"/>
          <w:shd w:fill="auto" w:val="clear"/>
          <w:lang w:val="en-US" w:eastAsia="en-US" w:bidi="en-US"/>
        </w:rPr>
        <w:t>Copyright © 1987 von Peter James McCormick</w:t>
        <w:br/>
        <w:t>Alle Rechte vorbehalten</w:t>
      </w:r>
      <w:bookmarkEnd w:id="4"/>
    </w:p>
    <w:p>
      <w:pPr>
        <w:pStyle w:val="Flietext21"/>
        <w:keepNext w:val="false"/>
        <w:keepLines w:val="false"/>
        <w:widowControl w:val="false"/>
        <w:shd w:val="clear" w:color="auto" w:fill="auto"/>
        <w:bidi w:val="0"/>
        <w:spacing w:lineRule="auto" w:line="360" w:before="0" w:after="0"/>
        <w:ind w:left="0" w:right="0" w:hanging="0"/>
        <w:jc w:val="center"/>
        <w:rPr/>
      </w:pPr>
      <w:r>
        <w:rPr>
          <w:color w:val="000000"/>
          <w:spacing w:val="0"/>
          <w:w w:val="100"/>
          <w:shd w:fill="auto" w:val="clear"/>
          <w:lang w:val="en-US" w:eastAsia="en-US" w:bidi="en-US"/>
        </w:rPr>
        <w:t>Bibliothek des Kongresses Katalogisierung-in-Publikationsdaten</w:t>
        <w:br/>
        <w:t>McCormick, Peter James.</w:t>
      </w:r>
    </w:p>
    <w:p>
      <w:pPr>
        <w:pStyle w:val="Flietext21"/>
        <w:keepNext w:val="false"/>
        <w:keepLines w:val="false"/>
        <w:widowControl w:val="false"/>
        <w:shd w:val="clear" w:color="auto" w:fill="auto"/>
        <w:bidi w:val="0"/>
        <w:spacing w:lineRule="auto" w:line="276" w:before="0" w:after="0"/>
        <w:ind w:left="0" w:right="0" w:hanging="0"/>
        <w:jc w:val="center"/>
        <w:rPr/>
      </w:pPr>
      <w:r>
        <w:rPr>
          <w:color w:val="000000"/>
          <w:spacing w:val="0"/>
          <w:w w:val="100"/>
          <w:shd w:fill="auto" w:val="clear"/>
          <w:lang w:val="en-US" w:eastAsia="en-US" w:bidi="en-US"/>
        </w:rPr>
        <w:t>Gesellschaftsvertrag und politische Verpflichtung.</w:t>
        <w:br/>
        <w:t>(Politische Theorie und politische Philosophie)</w:t>
        <w:br/>
        <w:t>Ursprünglich als Dissertation des Autors präsentiert</w:t>
        <w:br/>
        <w:t>(Promotion), London, 1974.</w:t>
      </w:r>
    </w:p>
    <w:p>
      <w:pPr>
        <w:pStyle w:val="Flietext21"/>
        <w:keepNext w:val="false"/>
        <w:keepLines w:val="false"/>
        <w:widowControl w:val="false"/>
        <w:shd w:val="clear" w:color="auto" w:fill="auto"/>
        <w:bidi w:val="0"/>
        <w:spacing w:lineRule="auto" w:line="240" w:before="0" w:after="0"/>
        <w:ind w:left="0" w:right="0" w:hanging="0"/>
        <w:jc w:val="center"/>
        <w:rPr/>
      </w:pPr>
      <w:r>
        <w:rPr>
          <w:color w:val="000000"/>
          <w:spacing w:val="0"/>
          <w:w w:val="100"/>
          <w:shd w:fill="auto" w:val="clear"/>
          <w:lang w:val="en-US" w:eastAsia="en-US" w:bidi="en-US"/>
        </w:rPr>
        <w:t>1. Politische Verpflichtung. 2. Gesellschaftsvertrag.</w:t>
        <w:br/>
        <w:t>I. Titel. II. Serie.</w:t>
      </w:r>
    </w:p>
    <w:p>
      <w:pPr>
        <w:pStyle w:val="Flietext21"/>
        <w:keepNext w:val="false"/>
        <w:keepLines w:val="false"/>
        <w:widowControl w:val="false"/>
        <w:shd w:val="clear" w:color="auto" w:fill="auto"/>
        <w:tabs>
          <w:tab w:val="clear" w:pos="720"/>
          <w:tab w:val="left" w:pos="2237" w:leader="none"/>
          <w:tab w:val="left" w:pos="3518" w:leader="none"/>
        </w:tabs>
        <w:bidi w:val="0"/>
        <w:spacing w:lineRule="auto" w:line="240" w:before="0" w:after="0"/>
        <w:ind w:left="0" w:right="0" w:hanging="0"/>
        <w:jc w:val="center"/>
        <w:rPr/>
      </w:pPr>
      <w:r>
        <w:rPr>
          <w:color w:val="000000"/>
          <w:spacing w:val="0"/>
          <w:w w:val="100"/>
          <w:shd w:fill="auto" w:val="clear"/>
          <w:lang w:val="de-DE" w:eastAsia="de-DE" w:bidi="de-DE"/>
        </w:rPr>
        <w:t>JC329.5.M28 1987 320'.01'1 86 - 27011</w:t>
      </w:r>
    </w:p>
    <w:p>
      <w:pPr>
        <w:pStyle w:val="Flietext21"/>
        <w:keepNext w:val="false"/>
        <w:keepLines w:val="false"/>
        <w:widowControl w:val="false"/>
        <w:shd w:val="clear" w:color="auto" w:fill="auto"/>
        <w:bidi w:val="0"/>
        <w:spacing w:lineRule="auto" w:line="240" w:before="0" w:after="420"/>
        <w:ind w:left="0" w:right="0" w:hanging="0"/>
        <w:jc w:val="center"/>
        <w:rPr/>
      </w:pPr>
      <w:r>
        <w:rPr>
          <w:color w:val="000000"/>
          <w:spacing w:val="0"/>
          <w:w w:val="100"/>
          <w:shd w:fill="auto" w:val="clear"/>
          <w:lang w:val="de-DE" w:eastAsia="de-DE" w:bidi="de-DE"/>
        </w:rPr>
        <w:t>ISBN-0-8240-0825-1</w:t>
      </w:r>
    </w:p>
    <w:p>
      <w:pPr>
        <w:pStyle w:val="Flietext21"/>
        <w:keepNext w:val="false"/>
        <w:keepLines w:val="false"/>
        <w:widowControl w:val="false"/>
        <w:shd w:val="clear" w:color="auto" w:fill="auto"/>
        <w:bidi w:val="0"/>
        <w:spacing w:lineRule="auto" w:line="240" w:before="0" w:after="100"/>
        <w:ind w:left="0" w:right="0" w:hanging="0"/>
        <w:jc w:val="center"/>
        <w:rPr/>
      </w:pPr>
      <w:r>
        <w:rPr>
          <w:color w:val="000000"/>
          <w:spacing w:val="0"/>
          <w:w w:val="100"/>
          <w:shd w:fill="auto" w:val="clear"/>
          <w:lang w:val="de-DE" w:eastAsia="de-DE" w:bidi="de-DE"/>
        </w:rPr>
        <w:t>Alle Bände dieser Reihe sind gedruckt</w:t>
        <w:br/>
        <w:t>auf säurefreiem, 250 Jahre haltbarem Papier.</w:t>
      </w:r>
    </w:p>
    <w:p>
      <w:pPr>
        <w:sectPr>
          <w:footerReference w:type="even" r:id="rId9"/>
          <w:footerReference w:type="default" r:id="rId10"/>
          <w:type w:val="nextPage"/>
          <w:pgSz w:w="12240" w:h="15840"/>
          <w:pgMar w:left="1493" w:right="1570" w:gutter="0" w:header="0" w:top="1411" w:footer="983" w:bottom="1411"/>
          <w:pgNumType w:fmt="decimal"/>
          <w:formProt w:val="false"/>
          <w:textDirection w:val="lrTb"/>
          <w:docGrid w:type="default" w:linePitch="360" w:charSpace="0"/>
        </w:sectPr>
        <w:pStyle w:val="Flietext21"/>
        <w:keepNext w:val="false"/>
        <w:keepLines w:val="false"/>
        <w:widowControl w:val="false"/>
        <w:shd w:val="clear" w:color="auto" w:fill="auto"/>
        <w:bidi w:val="0"/>
        <w:spacing w:lineRule="auto" w:line="240" w:before="0" w:after="420"/>
        <w:ind w:left="0" w:right="0" w:hanging="0"/>
        <w:jc w:val="center"/>
        <w:rPr/>
      </w:pPr>
      <w:r>
        <w:rPr>
          <w:color w:val="000000"/>
          <w:spacing w:val="0"/>
          <w:w w:val="100"/>
          <w:shd w:fill="auto" w:val="clear"/>
          <w:lang w:val="de-DE" w:eastAsia="de-DE" w:bidi="de-DE"/>
        </w:rPr>
        <w:t>Gedruckt in den Vereinigten Staaten von Amerika</w:t>
      </w:r>
    </w:p>
    <w:p>
      <w:pPr>
        <w:pStyle w:val="Berschrift11"/>
        <w:keepNext w:val="true"/>
        <w:keepLines/>
        <w:widowControl w:val="false"/>
        <w:shd w:val="clear" w:color="auto" w:fill="auto"/>
        <w:bidi w:val="0"/>
        <w:spacing w:lineRule="auto" w:line="240" w:before="0" w:after="440"/>
        <w:ind w:left="0" w:right="0" w:hanging="0"/>
        <w:jc w:val="center"/>
        <w:rPr/>
      </w:pPr>
      <w:bookmarkStart w:id="5" w:name="bookmark6"/>
      <w:bookmarkStart w:id="6" w:name="bookmark5"/>
      <w:r>
        <w:rPr>
          <w:b w:val="false"/>
          <w:bCs w:val="false"/>
          <w:color w:val="000000"/>
          <w:spacing w:val="0"/>
          <w:w w:val="100"/>
          <w:shd w:fill="auto" w:val="clear"/>
          <w:lang w:val="en-US" w:eastAsia="en-US" w:bidi="en-US"/>
        </w:rPr>
        <w:t>Inhaltsverzeichnis</w:t>
      </w:r>
      <w:bookmarkEnd w:id="5"/>
      <w:bookmarkEnd w:id="6"/>
    </w:p>
    <w:p>
      <w:pPr>
        <w:pStyle w:val="Flietext1"/>
        <w:keepNext w:val="false"/>
        <w:keepLines w:val="false"/>
        <w:widowControl w:val="false"/>
        <w:numPr>
          <w:ilvl w:val="0"/>
          <w:numId w:val="2"/>
        </w:numPr>
        <w:shd w:val="clear" w:color="auto" w:fill="auto"/>
        <w:tabs>
          <w:tab w:val="clear" w:pos="720"/>
          <w:tab w:val="left" w:pos="426" w:leader="none"/>
        </w:tabs>
        <w:bidi w:val="0"/>
        <w:spacing w:lineRule="auto" w:line="240" w:before="0" w:after="0"/>
        <w:ind w:left="0" w:right="0" w:hanging="0"/>
        <w:jc w:val="left"/>
        <w:rPr/>
      </w:pPr>
      <w:hyperlink w:anchor="bookmark24" w:tgtFrame="Current Document">
        <w:bookmarkStart w:id="7" w:name="bookmark7"/>
        <w:r>
          <w:rPr>
            <w:color w:val="0000EE"/>
            <w:spacing w:val="0"/>
            <w:w w:val="100"/>
            <w:shd w:fill="auto" w:val="clear"/>
            <w:lang w:val="en-US" w:eastAsia="en-US" w:bidi="en-US"/>
          </w:rPr>
          <w:t>Einführung</w:t>
        </w:r>
      </w:hyperlink>
      <w:bookmarkEnd w:id="7"/>
    </w:p>
    <w:p>
      <w:pPr>
        <w:pStyle w:val="Flietext1"/>
        <w:keepNext w:val="false"/>
        <w:keepLines w:val="false"/>
        <w:widowControl w:val="false"/>
        <w:numPr>
          <w:ilvl w:val="0"/>
          <w:numId w:val="2"/>
        </w:numPr>
        <w:shd w:val="clear" w:color="auto" w:fill="auto"/>
        <w:tabs>
          <w:tab w:val="clear" w:pos="720"/>
          <w:tab w:val="left" w:pos="426" w:leader="none"/>
        </w:tabs>
        <w:bidi w:val="0"/>
        <w:spacing w:lineRule="auto" w:line="240" w:before="0" w:after="0"/>
        <w:ind w:left="0" w:right="0" w:hanging="0"/>
        <w:jc w:val="left"/>
        <w:rPr/>
      </w:pPr>
      <w:hyperlink w:anchor="bookmark27" w:tgtFrame="Current Document">
        <w:r>
          <w:rPr>
            <w:color w:val="0000EE"/>
            <w:spacing w:val="0"/>
            <w:w w:val="100"/>
            <w:shd w:fill="auto" w:val="clear"/>
            <w:lang w:val="en-US" w:eastAsia="en-US" w:bidi="en-US"/>
          </w:rPr>
          <w:t>Das eingeführte Thema: Grotius</w:t>
        </w:r>
      </w:hyperlink>
    </w:p>
    <w:p>
      <w:pPr>
        <w:pStyle w:val="Flietext1"/>
        <w:keepNext w:val="false"/>
        <w:keepLines w:val="false"/>
        <w:widowControl w:val="false"/>
        <w:numPr>
          <w:ilvl w:val="0"/>
          <w:numId w:val="2"/>
        </w:numPr>
        <w:shd w:val="clear" w:color="auto" w:fill="auto"/>
        <w:tabs>
          <w:tab w:val="clear" w:pos="720"/>
          <w:tab w:val="left" w:pos="426" w:leader="none"/>
        </w:tabs>
        <w:bidi w:val="0"/>
        <w:spacing w:lineRule="auto" w:line="240" w:before="0" w:after="0"/>
        <w:ind w:left="0" w:right="0" w:hanging="0"/>
        <w:jc w:val="left"/>
        <w:rPr/>
      </w:pPr>
      <w:hyperlink w:anchor="bookmark30" w:tgtFrame="Current Document">
        <w:r>
          <w:rPr>
            <w:color w:val="0000EE"/>
            <w:spacing w:val="0"/>
            <w:w w:val="100"/>
            <w:shd w:fill="auto" w:val="clear"/>
            <w:lang w:val="en-US" w:eastAsia="en-US" w:bidi="en-US"/>
          </w:rPr>
          <w:t>Das entwickelte Thema: 1. Hobbes</w:t>
        </w:r>
      </w:hyperlink>
    </w:p>
    <w:p>
      <w:pPr>
        <w:pStyle w:val="Flietext1"/>
        <w:keepNext w:val="false"/>
        <w:keepLines w:val="false"/>
        <w:widowControl w:val="false"/>
        <w:numPr>
          <w:ilvl w:val="0"/>
          <w:numId w:val="2"/>
        </w:numPr>
        <w:shd w:val="clear" w:color="auto" w:fill="auto"/>
        <w:tabs>
          <w:tab w:val="clear" w:pos="720"/>
          <w:tab w:val="left" w:pos="426" w:leader="none"/>
        </w:tabs>
        <w:bidi w:val="0"/>
        <w:spacing w:lineRule="auto" w:line="240" w:before="0" w:after="0"/>
        <w:ind w:left="0" w:right="0" w:hanging="0"/>
        <w:jc w:val="left"/>
        <w:rPr/>
      </w:pPr>
      <w:hyperlink w:anchor="bookmark33" w:tgtFrame="Current Document">
        <w:r>
          <w:rPr>
            <w:color w:val="0000EE"/>
            <w:spacing w:val="0"/>
            <w:w w:val="100"/>
            <w:shd w:fill="auto" w:val="clear"/>
            <w:lang w:val="en-US" w:eastAsia="en-US" w:bidi="en-US"/>
          </w:rPr>
          <w:t>Das entwickelte Thema: 2. Locke</w:t>
        </w:r>
      </w:hyperlink>
    </w:p>
    <w:p>
      <w:pPr>
        <w:pStyle w:val="Flietext1"/>
        <w:keepNext w:val="false"/>
        <w:keepLines w:val="false"/>
        <w:widowControl w:val="false"/>
        <w:numPr>
          <w:ilvl w:val="0"/>
          <w:numId w:val="2"/>
        </w:numPr>
        <w:shd w:val="clear" w:color="auto" w:fill="auto"/>
        <w:tabs>
          <w:tab w:val="clear" w:pos="720"/>
          <w:tab w:val="left" w:pos="426" w:leader="none"/>
        </w:tabs>
        <w:bidi w:val="0"/>
        <w:spacing w:lineRule="auto" w:line="240" w:before="0" w:after="0"/>
        <w:ind w:left="0" w:right="0" w:hanging="0"/>
        <w:jc w:val="left"/>
        <w:rPr/>
      </w:pPr>
      <w:hyperlink w:anchor="bookmark36" w:tgtFrame="Current Document">
        <w:r>
          <w:rPr>
            <w:color w:val="0000EE"/>
            <w:spacing w:val="0"/>
            <w:w w:val="100"/>
            <w:shd w:fill="auto" w:val="clear"/>
            <w:lang w:val="en-US" w:eastAsia="en-US" w:bidi="en-US"/>
          </w:rPr>
          <w:t>Das entwickelte Thema: 3. Rousseau</w:t>
        </w:r>
      </w:hyperlink>
    </w:p>
    <w:p>
      <w:pPr>
        <w:pStyle w:val="Flietext1"/>
        <w:keepNext w:val="false"/>
        <w:keepLines w:val="false"/>
        <w:widowControl w:val="false"/>
        <w:numPr>
          <w:ilvl w:val="0"/>
          <w:numId w:val="2"/>
        </w:numPr>
        <w:shd w:val="clear" w:color="auto" w:fill="auto"/>
        <w:tabs>
          <w:tab w:val="clear" w:pos="720"/>
          <w:tab w:val="left" w:pos="426" w:leader="none"/>
        </w:tabs>
        <w:bidi w:val="0"/>
        <w:spacing w:lineRule="auto" w:line="240" w:before="0" w:after="0"/>
        <w:ind w:left="0" w:right="0" w:hanging="0"/>
        <w:jc w:val="left"/>
        <w:rPr/>
      </w:pPr>
      <w:hyperlink w:anchor="bookmark39" w:tgtFrame="Current Document">
        <w:r>
          <w:rPr>
            <w:color w:val="0000EE"/>
            <w:spacing w:val="0"/>
            <w:w w:val="100"/>
            <w:shd w:fill="auto" w:val="clear"/>
            <w:lang w:val="en-US" w:eastAsia="en-US" w:bidi="en-US"/>
          </w:rPr>
          <w:t>Das Thema geklärt: 1. Der unterstellte Vertrag und John Rawls</w:t>
        </w:r>
      </w:hyperlink>
    </w:p>
    <w:p>
      <w:pPr>
        <w:pStyle w:val="Flietext1"/>
        <w:keepNext w:val="false"/>
        <w:keepLines w:val="false"/>
        <w:widowControl w:val="false"/>
        <w:numPr>
          <w:ilvl w:val="0"/>
          <w:numId w:val="2"/>
        </w:numPr>
        <w:shd w:val="clear" w:color="auto" w:fill="auto"/>
        <w:tabs>
          <w:tab w:val="clear" w:pos="720"/>
          <w:tab w:val="left" w:pos="426" w:leader="none"/>
        </w:tabs>
        <w:bidi w:val="0"/>
        <w:spacing w:lineRule="auto" w:line="240" w:before="0" w:after="0"/>
        <w:ind w:left="0" w:right="0" w:hanging="0"/>
        <w:jc w:val="left"/>
        <w:rPr/>
      </w:pPr>
      <w:hyperlink w:anchor="bookmark42" w:tgtFrame="Current Document">
        <w:r>
          <w:rPr>
            <w:color w:val="0000EE"/>
            <w:spacing w:val="0"/>
            <w:w w:val="100"/>
            <w:shd w:fill="auto" w:val="clear"/>
            <w:lang w:val="en-US" w:eastAsia="en-US" w:bidi="en-US"/>
          </w:rPr>
          <w:t>Das geklärte Thema: 2. Das orthodoxe Modell und der unterstellte Vertrag</w:t>
        </w:r>
      </w:hyperlink>
    </w:p>
    <w:p>
      <w:pPr>
        <w:pStyle w:val="Flietext1"/>
        <w:keepNext w:val="false"/>
        <w:keepLines w:val="false"/>
        <w:widowControl w:val="false"/>
        <w:numPr>
          <w:ilvl w:val="0"/>
          <w:numId w:val="2"/>
        </w:numPr>
        <w:shd w:val="clear" w:color="auto" w:fill="auto"/>
        <w:tabs>
          <w:tab w:val="clear" w:pos="720"/>
          <w:tab w:val="left" w:pos="426" w:leader="none"/>
        </w:tabs>
        <w:bidi w:val="0"/>
        <w:spacing w:lineRule="auto" w:line="240" w:before="0" w:after="0"/>
        <w:ind w:left="0" w:right="0" w:hanging="0"/>
        <w:jc w:val="left"/>
        <w:rPr/>
      </w:pPr>
      <w:hyperlink w:anchor="bookmark45" w:tgtFrame="Current Document">
        <w:r>
          <w:rPr>
            <w:color w:val="0000EE"/>
            <w:spacing w:val="0"/>
            <w:w w:val="100"/>
            <w:shd w:fill="auto" w:val="clear"/>
            <w:lang w:val="en-US" w:eastAsia="en-US" w:bidi="en-US"/>
          </w:rPr>
          <w:t>Das Thema unterteilt: 1. Demokratie, Zustimmung und Verpflichtung</w:t>
        </w:r>
      </w:hyperlink>
    </w:p>
    <w:p>
      <w:pPr>
        <w:pStyle w:val="Flietext1"/>
        <w:keepNext w:val="false"/>
        <w:keepLines w:val="false"/>
        <w:widowControl w:val="false"/>
        <w:numPr>
          <w:ilvl w:val="0"/>
          <w:numId w:val="2"/>
        </w:numPr>
        <w:shd w:val="clear" w:color="auto" w:fill="auto"/>
        <w:tabs>
          <w:tab w:val="clear" w:pos="720"/>
          <w:tab w:val="left" w:pos="426" w:leader="none"/>
        </w:tabs>
        <w:bidi w:val="0"/>
        <w:spacing w:lineRule="auto" w:line="240" w:before="0" w:after="0"/>
        <w:ind w:left="0" w:right="0" w:hanging="0"/>
        <w:jc w:val="left"/>
        <w:rPr/>
      </w:pPr>
      <w:hyperlink w:anchor="bookmark48" w:tgtFrame="Current Document">
        <w:r>
          <w:rPr>
            <w:color w:val="0000EE"/>
            <w:spacing w:val="0"/>
            <w:w w:val="100"/>
            <w:shd w:fill="auto" w:val="clear"/>
            <w:lang w:val="en-US" w:eastAsia="en-US" w:bidi="en-US"/>
          </w:rPr>
          <w:t>Das Thema geteilt: 2. T.H. Grün</w:t>
        </w:r>
      </w:hyperlink>
    </w:p>
    <w:p>
      <w:pPr>
        <w:pStyle w:val="Flietext1"/>
        <w:keepNext w:val="false"/>
        <w:keepLines w:val="false"/>
        <w:widowControl w:val="false"/>
        <w:numPr>
          <w:ilvl w:val="0"/>
          <w:numId w:val="2"/>
        </w:numPr>
        <w:shd w:val="clear" w:color="auto" w:fill="auto"/>
        <w:tabs>
          <w:tab w:val="clear" w:pos="720"/>
          <w:tab w:val="left" w:pos="574" w:leader="none"/>
        </w:tabs>
        <w:bidi w:val="0"/>
        <w:spacing w:lineRule="auto" w:line="240" w:before="0" w:after="0"/>
        <w:ind w:left="0" w:right="0" w:hanging="0"/>
        <w:jc w:val="left"/>
        <w:rPr/>
      </w:pPr>
      <w:hyperlink w:anchor="bookmark51" w:tgtFrame="Current Document">
        <w:r>
          <w:rPr>
            <w:color w:val="0000EE"/>
            <w:spacing w:val="0"/>
            <w:w w:val="100"/>
            <w:shd w:fill="auto" w:val="clear"/>
            <w:lang w:val="en-US" w:eastAsia="en-US" w:bidi="en-US"/>
          </w:rPr>
          <w:t>Abschluss</w:t>
        </w:r>
      </w:hyperlink>
    </w:p>
    <w:p>
      <w:pPr>
        <w:pStyle w:val="Flietext1"/>
        <w:keepNext w:val="false"/>
        <w:keepLines w:val="false"/>
        <w:widowControl w:val="false"/>
        <w:shd w:val="clear" w:color="auto" w:fill="auto"/>
        <w:bidi w:val="0"/>
        <w:spacing w:lineRule="auto" w:line="240" w:before="0" w:after="0"/>
        <w:ind w:left="0" w:right="0" w:hanging="0"/>
        <w:jc w:val="left"/>
        <w:rPr/>
      </w:pPr>
      <w:hyperlink w:anchor="bookmark55" w:tgtFrame="Current Document">
        <w:bookmarkStart w:id="8" w:name="bookmark17"/>
        <w:r>
          <w:rPr>
            <w:color w:val="0000EE"/>
            <w:spacing w:val="0"/>
            <w:w w:val="100"/>
            <w:shd w:fill="auto" w:val="clear"/>
            <w:lang w:val="en-US" w:eastAsia="en-US" w:bidi="en-US"/>
          </w:rPr>
          <w:t>Anhang I. Walzer und Theorie der demokratischen Zustimmung</w:t>
        </w:r>
      </w:hyperlink>
      <w:bookmarkEnd w:id="8"/>
    </w:p>
    <w:p>
      <w:pPr>
        <w:pStyle w:val="Flietext1"/>
        <w:keepNext w:val="false"/>
        <w:keepLines w:val="false"/>
        <w:widowControl w:val="false"/>
        <w:shd w:val="clear" w:color="auto" w:fill="auto"/>
        <w:bidi w:val="0"/>
        <w:spacing w:lineRule="auto" w:line="240" w:before="0" w:after="0"/>
        <w:ind w:left="0" w:right="0" w:hanging="0"/>
        <w:jc w:val="left"/>
        <w:rPr/>
      </w:pPr>
      <w:hyperlink w:anchor="bookmark58" w:tgtFrame="Current Document">
        <w:bookmarkStart w:id="9" w:name="bookmark18"/>
        <w:r>
          <w:rPr>
            <w:color w:val="0000EE"/>
            <w:spacing w:val="0"/>
            <w:w w:val="100"/>
            <w:shd w:fill="auto" w:val="clear"/>
            <w:lang w:val="en-US" w:eastAsia="en-US" w:bidi="en-US"/>
          </w:rPr>
          <w:t>Anhang II. Sokrates und Vertrag</w:t>
        </w:r>
      </w:hyperlink>
      <w:bookmarkEnd w:id="9"/>
    </w:p>
    <w:p>
      <w:pPr>
        <w:pStyle w:val="Flietext1"/>
        <w:keepNext w:val="false"/>
        <w:keepLines w:val="false"/>
        <w:widowControl w:val="false"/>
        <w:shd w:val="clear" w:color="auto" w:fill="auto"/>
        <w:bidi w:val="0"/>
        <w:spacing w:lineRule="auto" w:line="240" w:before="0" w:after="0"/>
        <w:ind w:left="0" w:right="0" w:hanging="0"/>
        <w:jc w:val="left"/>
        <w:rPr/>
      </w:pPr>
      <w:hyperlink w:anchor="bookmark62" w:tgtFrame="Current Document">
        <w:bookmarkStart w:id="10" w:name="bookmark19"/>
        <w:r>
          <w:rPr>
            <w:color w:val="0000EE"/>
            <w:spacing w:val="0"/>
            <w:w w:val="100"/>
            <w:shd w:fill="auto" w:val="clear"/>
            <w:lang w:val="en-US" w:eastAsia="en-US" w:bidi="en-US"/>
          </w:rPr>
          <w:t>Anhang III. Das falsch dargestellte Problem: das Modell der direkten Demokratie</w:t>
        </w:r>
      </w:hyperlink>
      <w:bookmarkEnd w:id="10"/>
    </w:p>
    <w:p>
      <w:pPr>
        <w:pStyle w:val="Flietext1"/>
        <w:keepNext w:val="false"/>
        <w:keepLines w:val="false"/>
        <w:widowControl w:val="false"/>
        <w:shd w:val="clear" w:color="auto" w:fill="auto"/>
        <w:bidi w:val="0"/>
        <w:spacing w:lineRule="auto" w:line="240" w:before="0" w:after="0"/>
        <w:ind w:left="0" w:right="0" w:hanging="0"/>
        <w:jc w:val="left"/>
        <w:rPr/>
      </w:pPr>
      <w:hyperlink w:anchor="bookmark66" w:tgtFrame="Current Document">
        <w:bookmarkStart w:id="11" w:name="bookmark20"/>
        <w:r>
          <w:rPr>
            <w:color w:val="0000EE"/>
            <w:spacing w:val="0"/>
            <w:w w:val="100"/>
            <w:shd w:fill="auto" w:val="clear"/>
            <w:lang w:val="en-US" w:eastAsia="en-US" w:bidi="en-US"/>
          </w:rPr>
          <w:t>Anhang IV. Green, Bradley und die idealistische Verpflichtungstheorie</w:t>
        </w:r>
      </w:hyperlink>
      <w:bookmarkEnd w:id="11"/>
    </w:p>
    <w:p>
      <w:pPr>
        <w:pStyle w:val="Flietext1"/>
        <w:keepNext w:val="false"/>
        <w:keepLines w:val="false"/>
        <w:widowControl w:val="false"/>
        <w:shd w:val="clear" w:color="auto" w:fill="auto"/>
        <w:bidi w:val="0"/>
        <w:spacing w:lineRule="auto" w:line="240" w:before="0" w:after="0"/>
        <w:ind w:left="0" w:right="0" w:hanging="0"/>
        <w:jc w:val="left"/>
        <w:rPr/>
      </w:pPr>
      <w:hyperlink w:anchor="bookmark68" w:tgtFrame="Current Document">
        <w:bookmarkStart w:id="12" w:name="bookmark21"/>
        <w:r>
          <w:rPr>
            <w:color w:val="0000EE"/>
            <w:spacing w:val="0"/>
            <w:w w:val="100"/>
            <w:shd w:fill="auto" w:val="clear"/>
            <w:lang w:val="en-US" w:eastAsia="en-US" w:bidi="en-US"/>
          </w:rPr>
          <w:t>Anhang V. Hinweis zu Pufendorf</w:t>
        </w:r>
      </w:hyperlink>
      <w:bookmarkEnd w:id="12"/>
    </w:p>
    <w:p>
      <w:pPr>
        <w:pStyle w:val="Flietext1"/>
        <w:keepNext w:val="false"/>
        <w:keepLines w:val="false"/>
        <w:widowControl w:val="false"/>
        <w:shd w:val="clear" w:color="auto" w:fill="auto"/>
        <w:bidi w:val="0"/>
        <w:spacing w:lineRule="auto" w:line="240" w:before="0" w:after="0"/>
        <w:ind w:left="0" w:right="0" w:hanging="0"/>
        <w:jc w:val="left"/>
        <w:rPr/>
      </w:pPr>
      <w:hyperlink w:anchor="bookmark71" w:tgtFrame="Current Document">
        <w:bookmarkStart w:id="13" w:name="bookmark22"/>
        <w:r>
          <w:rPr>
            <w:color w:val="0000EE"/>
            <w:spacing w:val="0"/>
            <w:w w:val="100"/>
            <w:shd w:fill="auto" w:val="clear"/>
            <w:lang w:val="en-US" w:eastAsia="en-US" w:bidi="en-US"/>
          </w:rPr>
          <w:t>Anhang VI. Rousseau und Platon</w:t>
        </w:r>
      </w:hyperlink>
      <w:bookmarkEnd w:id="13"/>
    </w:p>
    <w:p>
      <w:pPr>
        <w:sectPr>
          <w:footerReference w:type="even" r:id="rId11"/>
          <w:footerReference w:type="default" r:id="rId12"/>
          <w:type w:val="nextPage"/>
          <w:pgSz w:w="12240" w:h="15840"/>
          <w:pgMar w:left="1483" w:right="1579" w:gutter="0" w:header="0" w:top="1421" w:footer="993" w:bottom="1420"/>
          <w:pgNumType w:fmt="decimal"/>
          <w:formProt w:val="false"/>
          <w:textDirection w:val="lrTb"/>
          <w:docGrid w:type="default" w:linePitch="360" w:charSpace="0"/>
        </w:sectPr>
        <w:pStyle w:val="Flietext1"/>
        <w:keepNext w:val="false"/>
        <w:keepLines w:val="false"/>
        <w:widowControl w:val="false"/>
        <w:shd w:val="clear" w:color="auto" w:fill="auto"/>
        <w:bidi w:val="0"/>
        <w:spacing w:lineRule="auto" w:line="240" w:before="0" w:after="0"/>
        <w:ind w:left="0" w:right="0" w:hanging="0"/>
        <w:jc w:val="left"/>
        <w:rPr/>
      </w:pPr>
      <w:hyperlink w:anchor="bookmark74" w:tgtFrame="Current Document">
        <w:bookmarkStart w:id="14" w:name="bookmark23"/>
        <w:r>
          <w:rPr>
            <w:color w:val="0000EE"/>
            <w:spacing w:val="0"/>
            <w:w w:val="100"/>
            <w:shd w:fill="auto" w:val="clear"/>
            <w:lang w:val="en-US" w:eastAsia="en-US" w:bidi="en-US"/>
          </w:rPr>
          <w:t>Literaturverzeichnis</w:t>
        </w:r>
      </w:hyperlink>
      <w:bookmarkEnd w:id="14"/>
    </w:p>
    <w:p>
      <w:pPr>
        <w:pStyle w:val="Berschrift11"/>
        <w:keepNext w:val="true"/>
        <w:keepLines/>
        <w:widowControl w:val="false"/>
        <w:numPr>
          <w:ilvl w:val="0"/>
          <w:numId w:val="3"/>
        </w:numPr>
        <w:shd w:val="clear" w:color="auto" w:fill="auto"/>
        <w:tabs>
          <w:tab w:val="clear" w:pos="720"/>
          <w:tab w:val="left" w:pos="457" w:leader="none"/>
        </w:tabs>
        <w:bidi w:val="0"/>
        <w:spacing w:lineRule="auto" w:line="240" w:before="0" w:after="440"/>
        <w:ind w:left="0" w:right="0" w:hanging="0"/>
        <w:jc w:val="both"/>
        <w:rPr/>
      </w:pPr>
      <w:hyperlink w:anchor="bookmark7" w:tgtFrame="Current Document">
        <w:bookmarkStart w:id="15" w:name="bookmark24"/>
        <w:bookmarkStart w:id="16" w:name="bookmark26"/>
        <w:bookmarkStart w:id="17" w:name="bookmark25"/>
        <w:r>
          <w:rPr>
            <w:spacing w:val="0"/>
            <w:w w:val="100"/>
            <w:shd w:fill="auto" w:val="clear"/>
            <w:lang w:val="en-US" w:eastAsia="en-US" w:bidi="en-US"/>
          </w:rPr>
          <w:t>Einführung</w:t>
        </w:r>
      </w:hyperlink>
      <w:bookmarkEnd w:id="15"/>
      <w:bookmarkEnd w:id="16"/>
      <w:bookmarkEnd w:id="17"/>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Das Hauptthema, mit dem sich diese Diskussion beschäftigen wird, ist die politische Verpflichtung, die Frage nach der Rechtfertigung des Gehorsams gegenüber dem Gesetz. Die Betonung in einem solchen Satz muss auf dem Wort „Rechtfertigung“ liegen; Eine Untersuchung der politischen Verpflichtung beschäftigt sich nicht primär mit der Frage, warum Menschen tatsächlich gehorchen oder nicht, sondern muss sich darauf konzentrieren, warum sie gehorchen sollten. Auch die Frage, warum die Menschen meinen, gehorchen zu müssen, die zB Hume1 so beschäftigt, ist logischerweise eine eigene Frage; es ist offensichtlich, dass im Fall von mindestens zwei der zu berücksichtigenden Philosophen (nämlich Hobbes und Rousseau) ihre primäre Absicht darin bestand, zu zeigen, wie sehr sich die meisten Menschen in dieser Frage geirrt hatten.</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Genauer gesagt wird sich die Diskussion im Bereich der politischen Verpflichtungstheorie mit dem Gesellschaftsvertrag befassen, der Doktrin, die besagt, dass die einzig legitime Grundlage für die Regierung darin besteht, dass sie auf der Zustimmung der Regierten beruht. Da das Problem der politischen Verpflichtung eher ein Rechtfertigungs- als ein Erklärungsproblem ist, befasst sich der Aspekt des Gesellschaftsvertrags, um den es in einer solchen Diskussion geht, notwendigerweise nicht um die Ursprünge, sondern um die Rechtfertigung der Gesellschaft; die Unterscheidung ist so offensichtlich, dass sie nicht gemacht werden müsste, aber ein solches Verständnis fehlt oft in der Behandlung der Vertragsparteien.</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Freilich gehört das Thema Verpflichtung und Gesellschaftsvertrag kaum zu den unerforschten Gebieten der politischen Philosophie; es wird allgemein angenommen, dass es so gründlich erforscht wurde, dass der Gesellschaftsvertrag ganz kurz und herablassend aus der Darstellung politischer Verpflichtung entlassen werden kann. Sogar solche Versuche, das Modell wiederzubeleben – zum Beispiel das von John Rawls2 – scheinen solche oberflächlichen Ablehnungen nicht abzulehnen, sondern zu unterstreichen, indem sie lediglich in etwas raffinierterer Form die Argumente und Fehler früherer Denker wiederholen. Es wird manchmal wohltätig zugegeben, dass der Vertragsgedanke das allgemeine und lobenswerte Thema der Regierung enthält, da sie nur begrenzte Treuhandrechte besitzt; darüber hinaus wird die kontraktualistische Position schnell erschüttert und ihre Überbleibsel in die Demokratietheorie hineingefegt (insbesondere wenn die Frage des Stammbaums in die Demokratiedebatte eintritt).</w:t>
      </w:r>
    </w:p>
    <w:p>
      <w:pPr>
        <w:pStyle w:val="Flietext21"/>
        <w:keepNext w:val="false"/>
        <w:keepLines w:val="false"/>
        <w:widowControl w:val="false"/>
        <w:numPr>
          <w:ilvl w:val="0"/>
          <w:numId w:val="4"/>
        </w:numPr>
        <w:shd w:val="clear" w:color="auto" w:fill="auto"/>
        <w:tabs>
          <w:tab w:val="clear" w:pos="720"/>
          <w:tab w:val="left" w:pos="452" w:leader="none"/>
        </w:tabs>
        <w:bidi w:val="0"/>
        <w:spacing w:lineRule="auto" w:line="213" w:before="0" w:after="0"/>
        <w:ind w:left="0" w:right="0" w:firstLine="280"/>
        <w:jc w:val="both"/>
        <w:rPr/>
      </w:pPr>
      <w:r>
        <w:rPr>
          <w:color w:val="000000"/>
          <w:spacing w:val="0"/>
          <w:w w:val="100"/>
          <w:shd w:fill="auto" w:val="clear"/>
          <w:lang w:val="en-US" w:eastAsia="en-US" w:bidi="en-US"/>
        </w:rPr>
        <w:t>David Hume, „Of the Original Contract“, aus David Humes Political Essays, hrsg. von C. W. Hendel (New York: Bobbs-Merrill Library of Liberal Arts, 1953)</w:t>
      </w:r>
    </w:p>
    <w:p>
      <w:pPr>
        <w:pStyle w:val="Flietext21"/>
        <w:keepNext w:val="false"/>
        <w:keepLines w:val="false"/>
        <w:widowControl w:val="false"/>
        <w:numPr>
          <w:ilvl w:val="0"/>
          <w:numId w:val="4"/>
        </w:numPr>
        <w:shd w:val="clear" w:color="auto" w:fill="auto"/>
        <w:tabs>
          <w:tab w:val="clear" w:pos="720"/>
          <w:tab w:val="left" w:pos="466" w:leader="none"/>
        </w:tabs>
        <w:bidi w:val="0"/>
        <w:spacing w:lineRule="auto" w:line="189" w:before="0" w:after="200"/>
        <w:ind w:left="0" w:right="0" w:firstLine="240"/>
        <w:jc w:val="left"/>
        <w:rPr/>
      </w:pPr>
      <w:r>
        <w:rPr>
          <w:color w:val="000000"/>
          <w:spacing w:val="0"/>
          <w:w w:val="100"/>
          <w:shd w:fill="auto" w:val="clear"/>
          <w:lang w:val="en-US" w:eastAsia="en-US" w:bidi="en-US"/>
        </w:rPr>
        <w:t>vgl. Kapitel 6</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Diese Diskussion hat jedoch einen anderen Zweck, als die oft wiederholten Widerlegungen der Vertragstheorie als tragfähige Grundlage für politische Verpflichtungen aufzuwärmen. Sie trägt den Titel Kritik, aber die Kritik bezieht sich nicht auf die Gesellschaftsvertragstheorie als solche. Vielmehr wird der „orthodoxe“ Umgang mit dem Vertrag, der so leicht der groben Behandlung des Vertrages weicht, einer kritischen Analyse unterzogen und als unzureichend zurückgewiesen. An seiner Stelle wird eine Neuinterpretation des Vertrags vorgeschlagen, die sieht, dass er ziemlich andere Annahmen macht und ziemlich andere Prämissen erfordert, mit dem offensichtlichen Ergebnis, dass er gegen viele, wenn nicht alle Widerlegungen der Gesellschaftsvertragstheorie beweisbar ist. Die Neuinterpretation ist also an sich schon so etwas wie eine Rechtfertigung des Kontraktarismus.</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Das Verfahren für diese Behandlung ist einfach und direkt. Zunächst werden die am häufigsten zitierten Verfechter des Kontraktarismus untersucht, und aus dieser Untersuchung wird eine Neuinterpretation des Vertrags in Form eines neuen Modells oder Syllogismus abgeleitet. Als nächstes werden die Merkmale des neuen Vertragsmodells herausgearbeitet, indem es zuerst mit den Ideen von John Rawls und dann mit dem orthodoxen Modell verglichen wird. Anschließend wird die Theorie des demokratischen Konsenses als Erbe der Reste des orthodoxen Modells auf ihre Angemessenheit hin untersucht; wonach die Theorien von T.H. Grün wird als ein wichtiges Merkmal des Kontraktualismus betrachtet, das vom orthodoxen Modell (und damit von der Demokratietheorie) weggelassen oder ignoriert wird. Abschließend soll versucht werden, das neue Vertragsmodell als potenziell brauchbaren Ansatz für das Problem der politischen Verpflichtung im modernen Kontext anzuwenden, und zwar in einer Weise, die weitaus umfassender und bedeutsamer ist als allgemeine Gemeinplätze über treuhänderische Befugnisse.</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Um Missverständnisse zu vermeiden, sollte im Voraus angegeben werden, dass eine Reihe von vereinfachenden Annahmen getroffen werden; sie werden nicht gemacht, weil sie in irgendeiner Weise wahr sind, sondern weil sie die Diskussion erleichtern, ungeschickte Wiederholungen verhindern und nutzlose oder irrelevante Umwege vermeiden.</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Erstens wird die Terminologie der gesamten Diskussion die der Befehlstheorie sein. Dies liegt nicht daran, dass die Befehlstheorie im Endeffekt zufriedenstellend ist – an einigen Stellen wird scharfe Kritik an der Befehlstheorie geübt –, sondern an einem Großteil der Sprache der politischen Verpflichtung (einschließlich der Grundfrage: „Warum sollte ich gehorchen? the law?”) scheint direkt befehlstheoretische Annahmen eingebaut zu haben, und es wäre sowohl ungeschickt als auch ablenkend (und für die gegenwärtigen Zwecke ziemlich unnötig), zu versuchen, ein neues Vokabular zu entwickeln, das solche Implikationen vermeiden würde.</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Zweitens wird davon ausgegangen, dass sich die Pflichten der Bürger auf die Befolgung von Gesetzen beschränken. Dies scheint eher eine unwahrscheinliche Hypothese zu sein; In einigen Systemen umfassen die Pflichten eines Bürgers nicht nur den Gehorsam gegenüber dem Gesetz, sondern auch eine gewisse Beteiligung an der Gesetzgebung; in einigen extremen Fällen kann ein Bürger nicht nur verpflichtet sein, das Gesetz zu befolgen, sondern auch bei seiner Durchsetzung mitzuwirken; und wir können sogar extreme Umstände vermuten, unter denen es nützlich sein könnte, von einer Verpflichtung zum Ungehorsam gegen das Gesetz zu sprechen.3 Solche Fragen sind nützlich und wichtig, aber sie sind im Grunde Komplikationen oder Anwendungen einer Theorie der politischen Verpflichtung; es ist am einfachsten und am wenigsten verwirrend, eine Theorie der politischen Verpflichtung zu entwickeln, indem man sich auf den paradigmatischen Fall des Gehorsams gegenüber Gesetzen bezieht, bevor man die Ränder untersucht. Auch hier geht es eher um die Vermeidung sperriger Terminologie als um die Annahme einer ausschließlichen philosophischen Haltung.</w:t>
      </w:r>
    </w:p>
    <w:p>
      <w:pPr>
        <w:pStyle w:val="Flietext1"/>
        <w:keepNext w:val="false"/>
        <w:keepLines w:val="false"/>
        <w:widowControl w:val="false"/>
        <w:shd w:val="clear" w:color="auto" w:fill="auto"/>
        <w:bidi w:val="0"/>
        <w:spacing w:before="0" w:after="280"/>
        <w:ind w:left="0" w:right="0" w:firstLine="280"/>
        <w:jc w:val="both"/>
        <w:rPr/>
      </w:pPr>
      <w:r>
        <w:rPr>
          <w:color w:val="000000"/>
          <w:spacing w:val="0"/>
          <w:w w:val="100"/>
          <w:shd w:fill="auto" w:val="clear"/>
          <w:lang w:val="en-US" w:eastAsia="en-US" w:bidi="en-US"/>
        </w:rPr>
        <w:t>Drittens wird angenommen, dass die Frage „Warum sollte ich dem Gesetz gehorchen?“ kann sehr allgemein beantwortet werden. Tatsächlich ist es so, wie McPherson4 und Flathman5 am schlüssigsten argumentieren, dass eine solche Frage niemals mit „Ja“ oder „Nein“ beantwortet werden kann, sondern nur dazu verwendet werden kann, Erkenntnisse und Kriterien für die Beantwortung der spezifischeren Frage „Soll ich dieses Gesetz gehorchen?“. Es versteht sich, dass dies die einzige Bedeutung ist, die die allgemeine Frage haben kann; Wenn die Diskussion manchmal so gestaltet wird, als würde sie für alle Gesetze (die allgemeinste Ebene) oder alle Gesetze in einem bestimmten politischen System (die nächstallgemeinste Ebene) beantwortet, wird dies nur der Wortsparsamkeit dienen, oder die Vermeidung unnötiger ablenkender Erklärungen.</w:t>
      </w:r>
    </w:p>
    <w:p>
      <w:pPr>
        <w:pStyle w:val="Flietext21"/>
        <w:keepNext w:val="false"/>
        <w:keepLines w:val="false"/>
        <w:widowControl w:val="false"/>
        <w:numPr>
          <w:ilvl w:val="0"/>
          <w:numId w:val="4"/>
        </w:numPr>
        <w:shd w:val="clear" w:color="auto" w:fill="auto"/>
        <w:tabs>
          <w:tab w:val="clear" w:pos="720"/>
          <w:tab w:val="left" w:pos="452" w:leader="none"/>
        </w:tabs>
        <w:bidi w:val="0"/>
        <w:spacing w:lineRule="auto" w:line="213" w:before="0" w:after="0"/>
        <w:ind w:left="0" w:right="0" w:firstLine="280"/>
        <w:jc w:val="both"/>
        <w:rPr/>
      </w:pPr>
      <w:r>
        <w:rPr>
          <w:i/>
          <w:iCs/>
          <w:color w:val="000000"/>
          <w:spacing w:val="0"/>
          <w:w w:val="100"/>
          <w:shd w:fill="auto" w:val="clear"/>
          <w:lang w:val="en-US" w:eastAsia="en-US" w:bidi="en-US"/>
        </w:rPr>
        <w:t>vgl. z.B. Mulford Q. Sibley, The Obligation to Disobey, (New York: The Council on Religion and International Affairs, 1970), passim.</w:t>
      </w:r>
    </w:p>
    <w:p>
      <w:pPr>
        <w:pStyle w:val="Flietext21"/>
        <w:keepNext w:val="false"/>
        <w:keepLines w:val="false"/>
        <w:widowControl w:val="false"/>
        <w:numPr>
          <w:ilvl w:val="0"/>
          <w:numId w:val="4"/>
        </w:numPr>
        <w:shd w:val="clear" w:color="auto" w:fill="auto"/>
        <w:tabs>
          <w:tab w:val="clear" w:pos="720"/>
          <w:tab w:val="left" w:pos="466" w:leader="none"/>
        </w:tabs>
        <w:bidi w:val="0"/>
        <w:spacing w:lineRule="auto" w:line="189" w:before="0" w:after="0"/>
        <w:ind w:left="0" w:right="0" w:firstLine="240"/>
        <w:jc w:val="left"/>
        <w:rPr/>
      </w:pPr>
      <w:r>
        <w:rPr>
          <w:color w:val="000000"/>
          <w:spacing w:val="0"/>
          <w:w w:val="100"/>
          <w:shd w:fill="auto" w:val="clear"/>
          <w:lang w:val="en-US" w:eastAsia="en-US" w:bidi="en-US"/>
        </w:rPr>
        <w:t>Thomas McPherson, Politische Verpflichtung (London: Routledge &amp; Kegan Paul, 1967).</w:t>
      </w:r>
    </w:p>
    <w:p>
      <w:pPr>
        <w:pStyle w:val="Flietext21"/>
        <w:keepNext w:val="false"/>
        <w:keepLines w:val="false"/>
        <w:widowControl w:val="false"/>
        <w:numPr>
          <w:ilvl w:val="0"/>
          <w:numId w:val="4"/>
        </w:numPr>
        <w:shd w:val="clear" w:color="auto" w:fill="auto"/>
        <w:tabs>
          <w:tab w:val="clear" w:pos="720"/>
          <w:tab w:val="left" w:pos="466" w:leader="none"/>
        </w:tabs>
        <w:bidi w:val="0"/>
        <w:spacing w:lineRule="auto" w:line="189" w:before="0" w:after="220"/>
        <w:ind w:left="0" w:right="0" w:firstLine="240"/>
        <w:jc w:val="both"/>
        <w:rPr/>
      </w:pPr>
      <w:r>
        <w:rPr>
          <w:color w:val="000000"/>
          <w:spacing w:val="0"/>
          <w:w w:val="100"/>
          <w:shd w:fill="auto" w:val="clear"/>
          <w:lang w:val="en-US" w:eastAsia="en-US" w:bidi="en-US"/>
        </w:rPr>
        <w:t>Richard E. Flathman, Politische Verpflichtung, (New York: Atheneum, 1972).</w:t>
      </w:r>
    </w:p>
    <w:p>
      <w:pPr>
        <w:sectPr>
          <w:footerReference w:type="even" r:id="rId13"/>
          <w:footerReference w:type="default" r:id="rId14"/>
          <w:type w:val="nextPage"/>
          <w:pgSz w:w="12240" w:h="15840"/>
          <w:pgMar w:left="1488" w:right="1488" w:gutter="0" w:header="0" w:top="1428" w:footer="939" w:bottom="1367"/>
          <w:pgNumType w:fmt="decimal"/>
          <w:formProt w:val="false"/>
          <w:textDirection w:val="lrTb"/>
          <w:docGrid w:type="default" w:linePitch="360" w:charSpace="0"/>
        </w:sect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Es sollte offensichtlich sein, dass die Diskussion zwei sehr ungleiche Teile enthält. Erstens gibt es den Versuch, die orthodoxe Vertragsauslegung zu verwerfen, indem ein neues Modell entwickelt wird, das eine einheitlichere und zufriedenstellendere Erklärung der Vertragsparteien ermöglicht; Zweitens gibt es den Vorschlag, dass ein solches Modell möglicherweise auf das aktuelle Problem der politischen Verpflichtung anwendbar ist. Die beiden sind logisch verschieden, und der Versuch, das allgemeine Modell zu entwickeln und zu erklären, ist nicht nur logisch vorgelagert, sondern auch viel wichtiger als der Vorschlag einer möglichen aktuellen Anwendung dieses Modells. Wenn gezeigt werden kann, dass die meisten Angriffe auf Verträge, die üblicherweise als verheerend akzeptiert werden, tatsächlich weit am Ziel vorbei zielen, dann hat dies erhebliche Auswirkungen auf das Studium der politischen Philosophie. Wenn weiter darauf hingewiesen werden kann, dass eine genauere Interpretation des Geräts nicht nur formal nicht widerlegt, sondern potenziell anwendbar ist, macht dies das Modell noch spannender, aber die Qualität des grundlegenden Arguments steht und fällt nicht mit einer solchen Demonstration.</w:t>
      </w:r>
    </w:p>
    <w:p>
      <w:pPr>
        <w:pStyle w:val="Berschrift11"/>
        <w:keepNext w:val="true"/>
        <w:keepLines/>
        <w:widowControl w:val="false"/>
        <w:numPr>
          <w:ilvl w:val="0"/>
          <w:numId w:val="3"/>
        </w:numPr>
        <w:shd w:val="clear" w:color="auto" w:fill="auto"/>
        <w:tabs>
          <w:tab w:val="clear" w:pos="720"/>
          <w:tab w:val="left" w:pos="457" w:leader="none"/>
        </w:tabs>
        <w:bidi w:val="0"/>
        <w:spacing w:lineRule="auto" w:line="240" w:before="0" w:after="440"/>
        <w:ind w:left="0" w:right="0" w:hanging="0"/>
        <w:jc w:val="left"/>
        <w:rPr/>
      </w:pPr>
      <w:hyperlink w:anchor="bookmark8" w:tgtFrame="Current Document">
        <w:bookmarkStart w:id="18" w:name="bookmark27"/>
        <w:bookmarkStart w:id="19" w:name="bookmark29"/>
        <w:bookmarkStart w:id="20" w:name="bookmark28"/>
        <w:r>
          <w:rPr>
            <w:spacing w:val="0"/>
            <w:w w:val="100"/>
            <w:shd w:fill="auto" w:val="clear"/>
            <w:lang w:val="en-US" w:eastAsia="en-US" w:bidi="en-US"/>
          </w:rPr>
          <w:t>Das eingeführte Thema: Grotius</w:t>
        </w:r>
      </w:hyperlink>
      <w:bookmarkEnd w:id="18"/>
      <w:bookmarkEnd w:id="19"/>
      <w:bookmarkEnd w:id="20"/>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Die Werke von Hugo Grotius, insbesondere die Prolegomena zum Kriegs- und Friedensrecht, bilden den Ausgangspunkt für den in dieser Diskussion zu entwickelnden Vertragsbegriff, aber nur den Ausgangspunkt. Das soll natürlich nicht heißen, dass Grotius der erste war, der einen Vertragsbegriff in die politische Diskussion einführte; jede solche Behauptung könnte leicht widerlegt werden. Eine embryonale Vertragsform ist im Kriton des Sokrates vorhanden (oder leicht hineinzulesen).6 Die feudale Gesellschaft basierte am ausdrücklichsten und unmittelbarsten auf einem persönlichen Vertrag zwischen Herrn und Vasall. Daher ist es weder originell noch besonders überraschend, dass Grotius einen Kontraktmodus verwendet; Bedeutsam ist die besondere Form seiner Bewerbung.</w:t>
      </w:r>
    </w:p>
    <w:p>
      <w:pPr>
        <w:pStyle w:val="Flietext1"/>
        <w:keepNext w:val="false"/>
        <w:keepLines w:val="false"/>
        <w:widowControl w:val="false"/>
        <w:shd w:val="clear" w:color="auto" w:fill="auto"/>
        <w:bidi w:val="0"/>
        <w:spacing w:before="0" w:after="300"/>
        <w:ind w:left="0" w:right="0" w:firstLine="280"/>
        <w:jc w:val="both"/>
        <w:rPr/>
      </w:pPr>
      <w:r>
        <w:rPr>
          <w:color w:val="000000"/>
          <w:spacing w:val="0"/>
          <w:w w:val="100"/>
          <w:shd w:fill="auto" w:val="clear"/>
          <w:lang w:val="en-US" w:eastAsia="en-US" w:bidi="en-US"/>
        </w:rPr>
        <w:t>Der Kernpunkt der Prolegomena ist eine Beschreibung der logischen Erfordernisse einer geordneten Gemeinschaft, die unter anderem den Verzicht auf Diebstahl und die Rückgabe des Eigentums eines anderen, die Verpflichtung zur Erfüllung von Versprechen und die allgemeine Übereinstimmung zwischen den Handlungen eines Menschen und seinen Verdiensten auflistet;7 die Wichtigkeit der Paktvorschrift wird durch ihre Wiederholung betont8. Er drückt diese logischen Voraussetzungen in Begriffen eines Naturgesetzes9 aus, das eng mit der menschlichen Vernunft verbunden und von ihr auffindbar ist10. Es ist ein wichtiges Merkmal von Grotius ' Begriff des Naturrechts, dass es nicht von Gottes Willen abhängt, sondern eine rein rationale Konzeption ist; So verrucht es auch nur ist, so etwas vorzuschlagen, das Naturrecht besitzt auch dann Gültigkeit, wenn es keinen Gott gibt.11 Die Vernunft und die Vernunft allein diktiert den Inhalt des Naturrechts, und die Vernunft allein bestätigt es.</w:t>
      </w:r>
    </w:p>
    <w:p>
      <w:pPr>
        <w:pStyle w:val="Flietext21"/>
        <w:keepNext w:val="false"/>
        <w:keepLines w:val="false"/>
        <w:widowControl w:val="false"/>
        <w:numPr>
          <w:ilvl w:val="0"/>
          <w:numId w:val="4"/>
        </w:numPr>
        <w:shd w:val="clear" w:color="auto" w:fill="auto"/>
        <w:tabs>
          <w:tab w:val="clear" w:pos="720"/>
          <w:tab w:val="left" w:pos="506" w:leader="none"/>
        </w:tabs>
        <w:bidi w:val="0"/>
        <w:spacing w:lineRule="auto" w:line="189" w:before="0" w:after="0"/>
        <w:ind w:left="0" w:right="0" w:firstLine="280"/>
        <w:jc w:val="both"/>
        <w:rPr/>
      </w:pPr>
      <w:r>
        <w:rPr>
          <w:color w:val="000000"/>
          <w:spacing w:val="0"/>
          <w:w w:val="100"/>
          <w:shd w:fill="auto" w:val="clear"/>
          <w:lang w:val="en-US" w:eastAsia="en-US" w:bidi="en-US"/>
        </w:rPr>
        <w:t>Siehe Anhang</w:t>
      </w:r>
    </w:p>
    <w:p>
      <w:pPr>
        <w:pStyle w:val="Flietext21"/>
        <w:keepNext w:val="false"/>
        <w:keepLines w:val="false"/>
        <w:widowControl w:val="false"/>
        <w:numPr>
          <w:ilvl w:val="0"/>
          <w:numId w:val="4"/>
        </w:numPr>
        <w:shd w:val="clear" w:color="auto" w:fill="auto"/>
        <w:tabs>
          <w:tab w:val="clear" w:pos="720"/>
          <w:tab w:val="left" w:pos="452" w:leader="none"/>
        </w:tabs>
        <w:bidi w:val="0"/>
        <w:spacing w:lineRule="auto" w:line="213" w:before="0" w:after="0"/>
        <w:ind w:left="0" w:right="0" w:firstLine="280"/>
        <w:jc w:val="both"/>
        <w:rPr/>
      </w:pPr>
      <w:r>
        <w:rPr>
          <w:color w:val="000000"/>
          <w:spacing w:val="0"/>
          <w:w w:val="100"/>
          <w:shd w:fill="auto" w:val="clear"/>
          <w:lang w:val="en-US" w:eastAsia="en-US" w:bidi="en-US"/>
        </w:rPr>
        <w:t>Hugo Grotius, Prolegomena to the Law of War and Peace (übersetzt von F. Kelsey) (New York: Bobbs-Merrill Library of Liberal Arts, 1957), Nr. 8; S.9</w:t>
      </w:r>
    </w:p>
    <w:p>
      <w:pPr>
        <w:pStyle w:val="Flietext21"/>
        <w:keepNext w:val="false"/>
        <w:keepLines w:val="false"/>
        <w:widowControl w:val="false"/>
        <w:numPr>
          <w:ilvl w:val="0"/>
          <w:numId w:val="4"/>
        </w:numPr>
        <w:shd w:val="clear" w:color="auto" w:fill="auto"/>
        <w:tabs>
          <w:tab w:val="clear" w:pos="720"/>
          <w:tab w:val="left" w:pos="466" w:leader="none"/>
        </w:tabs>
        <w:bidi w:val="0"/>
        <w:spacing w:lineRule="auto" w:line="189" w:before="0" w:after="0"/>
        <w:ind w:left="0" w:right="0" w:firstLine="240"/>
        <w:jc w:val="left"/>
        <w:rPr/>
      </w:pPr>
      <w:r>
        <w:rPr>
          <w:color w:val="000000"/>
          <w:spacing w:val="0"/>
          <w:w w:val="100"/>
          <w:shd w:fill="auto" w:val="clear"/>
          <w:lang w:val="en-US" w:eastAsia="en-US" w:bidi="en-US"/>
        </w:rPr>
        <w:t>Ebenda, Nr. 15, S. 12</w:t>
      </w:r>
    </w:p>
    <w:p>
      <w:pPr>
        <w:pStyle w:val="Flietext21"/>
        <w:keepNext w:val="false"/>
        <w:keepLines w:val="false"/>
        <w:widowControl w:val="false"/>
        <w:numPr>
          <w:ilvl w:val="0"/>
          <w:numId w:val="4"/>
        </w:numPr>
        <w:shd w:val="clear" w:color="auto" w:fill="auto"/>
        <w:tabs>
          <w:tab w:val="clear" w:pos="720"/>
          <w:tab w:val="left" w:pos="466" w:leader="none"/>
        </w:tabs>
        <w:bidi w:val="0"/>
        <w:spacing w:lineRule="auto" w:line="189" w:before="0" w:after="0"/>
        <w:ind w:left="0" w:right="0" w:firstLine="240"/>
        <w:jc w:val="left"/>
        <w:rPr/>
      </w:pPr>
      <w:r>
        <w:rPr>
          <w:color w:val="000000"/>
          <w:spacing w:val="0"/>
          <w:w w:val="100"/>
          <w:shd w:fill="auto" w:val="clear"/>
          <w:lang w:val="en-US" w:eastAsia="en-US" w:bidi="en-US"/>
        </w:rPr>
        <w:t>Ebd., Nr. 16, p. 13</w:t>
      </w:r>
    </w:p>
    <w:p>
      <w:pPr>
        <w:pStyle w:val="Flietext21"/>
        <w:keepNext w:val="false"/>
        <w:keepLines w:val="false"/>
        <w:widowControl w:val="false"/>
        <w:numPr>
          <w:ilvl w:val="0"/>
          <w:numId w:val="4"/>
        </w:numPr>
        <w:shd w:val="clear" w:color="auto" w:fill="auto"/>
        <w:tabs>
          <w:tab w:val="clear" w:pos="720"/>
          <w:tab w:val="left" w:pos="534" w:leader="none"/>
        </w:tabs>
        <w:bidi w:val="0"/>
        <w:spacing w:lineRule="auto" w:line="189" w:before="0" w:after="220"/>
        <w:ind w:left="0" w:right="0" w:firstLine="240"/>
        <w:jc w:val="left"/>
        <w:rPr/>
      </w:pPr>
      <w:r>
        <w:rPr>
          <w:color w:val="000000"/>
          <w:spacing w:val="0"/>
          <w:w w:val="100"/>
          <w:shd w:fill="auto" w:val="clear"/>
          <w:lang w:val="en-US" w:eastAsia="en-US" w:bidi="en-US"/>
        </w:rPr>
        <w:t>Ebenda, Nr. 9 &amp; 10, S. 9-10</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vertAlign w:val="superscript"/>
          <w:lang w:val="en-US" w:eastAsia="en-US" w:bidi="en-US"/>
        </w:rPr>
        <w:t>Wenn sich aber das Naturrecht auf die Erfordernisse der Aufrechterhaltung der sozialen Ordnung im Einklang mit der Vernunft bezieht12, was macht dieses Naturrecht für den Einzelnen verbindlich – wie ist der Einzelne mit jener Gesellschaft verbunden, deren Prinzipien die Vernunft entdeckt? Die Antwort für Grotius liegt in „einem zwingenden Wunsch nach Gesellschaft“ und insbesondere nach einer friedlichen Gesellschaft, die „zu den für den Menschen charakteristischen Merkmalen“ und „der menschlichen Spezies eigentümlich“ gehört,13 wofür die bloße Existenz der menschliche Sprachfähigkeit.14 Es ist diese natürliche Geselligkeit, die die Menschen in die Gesellschaft führt und sie an das Naturgesetz bindet, das die Natur dieser Gesellschaft vorschreibt. Es gibt schwache Hinweise auf einen Mangel an Selbstgenügsamkeit als zusätzliches verstärkendes Motiv,15 aber in Anlehnung an die Stoiker besteht Grotius darauf, dass der Mensch gesellig wäre und den Wunsch hätte, die Gesellschaft zu genießen, selbst wenn ihm nichts fehlte.16</w:t>
      </w:r>
    </w:p>
    <w:p>
      <w:pPr>
        <w:pStyle w:val="Flietext1"/>
        <w:keepNext w:val="false"/>
        <w:keepLines w:val="false"/>
        <w:widowControl w:val="false"/>
        <w:shd w:val="clear" w:color="auto" w:fill="auto"/>
        <w:bidi w:val="0"/>
        <w:spacing w:before="0" w:after="260"/>
        <w:ind w:left="0" w:right="0" w:firstLine="280"/>
        <w:jc w:val="both"/>
        <w:rPr/>
      </w:pPr>
      <w:r>
        <w:rPr>
          <w:color w:val="000000"/>
          <w:spacing w:val="0"/>
          <w:w w:val="100"/>
          <w:shd w:fill="auto" w:val="clear"/>
          <w:lang w:val="en-US" w:eastAsia="en-US" w:bidi="en-US"/>
        </w:rPr>
        <w:t>Innerhalb dieser Argumentation ist die Erwähnung des Gesellschaftsvertrags als Überbrückung der Kluft zwischen dieser natürlichen Geselligkeit und tatsächlicher Verpflichtung in der Tat kurz – eine einfache Behauptung, dass die „Mutter des Gemeinderechts jene Verpflichtung ist, die aus gegenseitigem Einvernehmen entsteht“,17 in einem Kontext, der gemacht wurde schlägt vor, dass sein Hauptzweck darin besteht, Naturrecht und positives Recht zu unterscheiden. Wenn die Ordnungsvoraussetzungen logisch selbstverständlich sind und sich aus der Natur des Menschen ergeben, dass der Mensch diesen „zwingenden Wunsch“ hat, in die Gesellschaft einzutreten, welche Funktion hat dann der Vertrag? Die Antwort ist schwer von Grotius abzuleiten, der sich natürlich sowieso auf das Völkerrecht konzentrierte (Sabine zitiert diesen Punkt, wenn er diesen Punkt erörtert, zitiert eine Passage nicht von Grotius, sondern von Pufendorf, um die Logik zu erklären)18, und vielleicht können wir etwas weiter gehen als die ursprüngliche Prämisse des Individualismus, die selbst die Periode der westlichen Moderne differenziert.19 Die Relevanz des Vertrags wird bei den späteren Kontraktualisten deutlicher.</w:t>
      </w:r>
    </w:p>
    <w:p>
      <w:pPr>
        <w:pStyle w:val="Flietext21"/>
        <w:keepNext w:val="false"/>
        <w:keepLines w:val="false"/>
        <w:widowControl w:val="false"/>
        <w:numPr>
          <w:ilvl w:val="0"/>
          <w:numId w:val="4"/>
        </w:numPr>
        <w:shd w:val="clear" w:color="auto" w:fill="auto"/>
        <w:tabs>
          <w:tab w:val="clear" w:pos="720"/>
          <w:tab w:val="left" w:pos="608" w:leader="none"/>
        </w:tabs>
        <w:bidi w:val="0"/>
        <w:spacing w:lineRule="auto" w:line="240" w:before="0" w:after="0"/>
        <w:ind w:left="0" w:right="0" w:firstLine="240"/>
        <w:jc w:val="left"/>
        <w:rPr/>
      </w:pPr>
      <w:r>
        <w:rPr>
          <w:color w:val="000000"/>
          <w:spacing w:val="0"/>
          <w:w w:val="100"/>
          <w:shd w:fill="auto" w:val="clear"/>
          <w:lang w:val="en-US" w:eastAsia="en-US" w:bidi="en-US"/>
        </w:rPr>
        <w:t>Ebenda, Nr. 11, S. 10</w:t>
      </w:r>
    </w:p>
    <w:p>
      <w:pPr>
        <w:pStyle w:val="Flietext21"/>
        <w:keepNext w:val="false"/>
        <w:keepLines w:val="false"/>
        <w:widowControl w:val="false"/>
        <w:numPr>
          <w:ilvl w:val="0"/>
          <w:numId w:val="4"/>
        </w:numPr>
        <w:shd w:val="clear" w:color="auto" w:fill="auto"/>
        <w:tabs>
          <w:tab w:val="clear" w:pos="720"/>
          <w:tab w:val="left" w:pos="613" w:leader="none"/>
        </w:tabs>
        <w:bidi w:val="0"/>
        <w:spacing w:lineRule="auto" w:line="220" w:before="0" w:after="0"/>
        <w:ind w:left="0" w:right="0" w:firstLine="240"/>
        <w:jc w:val="left"/>
        <w:rPr/>
      </w:pPr>
      <w:r>
        <w:rPr>
          <w:color w:val="000000"/>
          <w:spacing w:val="0"/>
          <w:w w:val="100"/>
          <w:shd w:fill="auto" w:val="clear"/>
          <w:lang w:val="en-US" w:eastAsia="en-US" w:bidi="en-US"/>
        </w:rPr>
        <w:t>Ebenda, Nr. 8, S. 9</w:t>
      </w:r>
    </w:p>
    <w:p>
      <w:pPr>
        <w:pStyle w:val="Flietext21"/>
        <w:keepNext w:val="false"/>
        <w:keepLines w:val="false"/>
        <w:widowControl w:val="false"/>
        <w:numPr>
          <w:ilvl w:val="0"/>
          <w:numId w:val="4"/>
        </w:numPr>
        <w:shd w:val="clear" w:color="auto" w:fill="auto"/>
        <w:tabs>
          <w:tab w:val="clear" w:pos="720"/>
          <w:tab w:val="left" w:pos="613" w:leader="none"/>
        </w:tabs>
        <w:bidi w:val="0"/>
        <w:spacing w:before="0" w:after="0"/>
        <w:ind w:left="0" w:right="0" w:firstLine="240"/>
        <w:jc w:val="left"/>
        <w:rPr/>
      </w:pPr>
      <w:r>
        <w:rPr>
          <w:color w:val="000000"/>
          <w:spacing w:val="0"/>
          <w:w w:val="100"/>
          <w:shd w:fill="auto" w:val="clear"/>
          <w:lang w:val="en-US" w:eastAsia="en-US" w:bidi="en-US"/>
        </w:rPr>
        <w:t>Ebenda, Nr. 6, S. 6</w:t>
      </w:r>
    </w:p>
    <w:p>
      <w:pPr>
        <w:pStyle w:val="Flietext21"/>
        <w:keepNext w:val="false"/>
        <w:keepLines w:val="false"/>
        <w:widowControl w:val="false"/>
        <w:numPr>
          <w:ilvl w:val="0"/>
          <w:numId w:val="4"/>
        </w:numPr>
        <w:shd w:val="clear" w:color="auto" w:fill="auto"/>
        <w:tabs>
          <w:tab w:val="clear" w:pos="720"/>
          <w:tab w:val="left" w:pos="613" w:leader="none"/>
        </w:tabs>
        <w:bidi w:val="0"/>
        <w:spacing w:lineRule="auto" w:line="220" w:before="0" w:after="0"/>
        <w:ind w:left="0" w:right="0" w:firstLine="240"/>
        <w:jc w:val="left"/>
        <w:rPr/>
      </w:pPr>
      <w:r>
        <w:rPr>
          <w:color w:val="000000"/>
          <w:spacing w:val="0"/>
          <w:w w:val="100"/>
          <w:shd w:fill="auto" w:val="clear"/>
          <w:lang w:val="en-US" w:eastAsia="en-US" w:bidi="en-US"/>
        </w:rPr>
        <w:t>Ebenda, Nr. 7, S. 8</w:t>
      </w:r>
    </w:p>
    <w:p>
      <w:pPr>
        <w:pStyle w:val="Flietext21"/>
        <w:keepNext w:val="false"/>
        <w:keepLines w:val="false"/>
        <w:widowControl w:val="false"/>
        <w:numPr>
          <w:ilvl w:val="0"/>
          <w:numId w:val="4"/>
        </w:numPr>
        <w:shd w:val="clear" w:color="auto" w:fill="auto"/>
        <w:tabs>
          <w:tab w:val="clear" w:pos="720"/>
          <w:tab w:val="left" w:pos="613" w:leader="none"/>
        </w:tabs>
        <w:bidi w:val="0"/>
        <w:spacing w:before="0" w:after="0"/>
        <w:ind w:left="0" w:right="0" w:firstLine="240"/>
        <w:jc w:val="left"/>
        <w:rPr/>
      </w:pPr>
      <w:r>
        <w:rPr>
          <w:color w:val="000000"/>
          <w:spacing w:val="0"/>
          <w:w w:val="100"/>
          <w:shd w:fill="auto" w:val="clear"/>
          <w:lang w:val="en-US" w:eastAsia="en-US" w:bidi="en-US"/>
        </w:rPr>
        <w:t>Ebenda, Nr. 16, S. 13</w:t>
      </w:r>
    </w:p>
    <w:p>
      <w:pPr>
        <w:pStyle w:val="Flietext21"/>
        <w:keepNext w:val="false"/>
        <w:keepLines w:val="false"/>
        <w:widowControl w:val="false"/>
        <w:shd w:val="clear" w:color="auto" w:fill="auto"/>
        <w:bidi w:val="0"/>
        <w:spacing w:lineRule="auto" w:line="204" w:before="0" w:after="0"/>
        <w:ind w:left="0" w:right="0" w:firstLine="240"/>
        <w:jc w:val="left"/>
        <w:rPr/>
      </w:pPr>
      <w:r>
        <w:rPr>
          <w:i/>
          <w:iCs/>
          <w:color w:val="000000"/>
          <w:spacing w:val="0"/>
          <w:w w:val="100"/>
          <w:shd w:fill="auto" w:val="clear"/>
          <w:lang w:val="en-US" w:eastAsia="en-US" w:bidi="en-US"/>
        </w:rPr>
        <w:t>16 Ebenda</w:t>
      </w:r>
    </w:p>
    <w:p>
      <w:pPr>
        <w:pStyle w:val="Flietext21"/>
        <w:keepNext w:val="false"/>
        <w:keepLines w:val="false"/>
        <w:widowControl w:val="false"/>
        <w:shd w:val="clear" w:color="auto" w:fill="auto"/>
        <w:bidi w:val="0"/>
        <w:spacing w:before="0" w:after="200"/>
        <w:ind w:left="0" w:right="0" w:firstLine="240"/>
        <w:jc w:val="left"/>
        <w:rPr/>
      </w:pPr>
      <w:r>
        <w:rPr>
          <w:i/>
          <w:iCs/>
          <w:color w:val="000000"/>
          <w:spacing w:val="0"/>
          <w:w w:val="100"/>
          <w:shd w:fill="auto" w:val="clear"/>
          <w:lang w:val="en-US" w:eastAsia="en-US" w:bidi="en-US"/>
        </w:rPr>
        <w:t>17 Ebenda</w:t>
      </w:r>
    </w:p>
    <w:p>
      <w:pPr>
        <w:pStyle w:val="Flietext1"/>
        <w:keepNext w:val="false"/>
        <w:keepLines w:val="false"/>
        <w:widowControl w:val="false"/>
        <w:shd w:val="clear" w:color="auto" w:fill="auto"/>
        <w:bidi w:val="0"/>
        <w:spacing w:before="0" w:after="260"/>
        <w:ind w:left="0" w:right="0" w:firstLine="280"/>
        <w:jc w:val="both"/>
        <w:rPr/>
      </w:pPr>
      <w:r>
        <w:rPr>
          <w:color w:val="000000"/>
          <w:spacing w:val="0"/>
          <w:w w:val="100"/>
          <w:shd w:fill="auto" w:val="clear"/>
          <w:lang w:val="en-US" w:eastAsia="en-US" w:bidi="en-US"/>
        </w:rPr>
        <w:t>Grotius liefert damit die Elemente des Vertragsmodells, auf denen diese Diskussion die späteren Kontraktualisten aufbauen sieht. Diese Elemente sind:</w:t>
      </w:r>
    </w:p>
    <w:p>
      <w:pPr>
        <w:pStyle w:val="Flietext1"/>
        <w:keepNext w:val="false"/>
        <w:keepLines w:val="false"/>
        <w:widowControl w:val="false"/>
        <w:shd w:val="clear" w:color="auto" w:fill="auto"/>
        <w:bidi w:val="0"/>
        <w:spacing w:before="0" w:after="120"/>
        <w:ind w:left="620" w:right="0" w:hanging="340"/>
        <w:jc w:val="left"/>
        <w:rPr/>
      </w:pPr>
      <w:r>
        <w:rPr>
          <w:color w:val="000000"/>
          <w:spacing w:val="0"/>
          <w:w w:val="100"/>
          <w:shd w:fill="auto" w:val="clear"/>
          <w:lang w:val="en-US" w:eastAsia="en-US" w:bidi="en-US"/>
        </w:rPr>
        <w:t xml:space="preserve">• </w:t>
      </w:r>
      <w:r>
        <w:rPr>
          <w:color w:val="000000"/>
          <w:spacing w:val="0"/>
          <w:w w:val="100"/>
          <w:shd w:fill="auto" w:val="clear"/>
          <w:lang w:val="en-US" w:eastAsia="en-US" w:bidi="en-US"/>
        </w:rPr>
        <w:t>a) ein Naturgesetz, das die Voraussetzungen der Gemeinschaft festlegt (von Rousseau restriktiver als legitime Gemeinschaft formuliert),</w:t>
      </w:r>
    </w:p>
    <w:p>
      <w:pPr>
        <w:pStyle w:val="Flietext1"/>
        <w:keepNext w:val="false"/>
        <w:keepLines w:val="false"/>
        <w:widowControl w:val="false"/>
        <w:numPr>
          <w:ilvl w:val="0"/>
          <w:numId w:val="5"/>
        </w:numPr>
        <w:shd w:val="clear" w:color="auto" w:fill="auto"/>
        <w:tabs>
          <w:tab w:val="clear" w:pos="720"/>
          <w:tab w:val="left" w:pos="546" w:leader="none"/>
        </w:tabs>
        <w:bidi w:val="0"/>
        <w:spacing w:before="0" w:after="120"/>
        <w:ind w:left="0" w:right="0" w:firstLine="240"/>
        <w:jc w:val="left"/>
        <w:rPr/>
      </w:pPr>
      <w:r>
        <w:rPr>
          <w:color w:val="000000"/>
          <w:spacing w:val="0"/>
          <w:w w:val="100"/>
          <w:shd w:fill="auto" w:val="clear"/>
          <w:lang w:val="en-US" w:eastAsia="en-US" w:bidi="en-US"/>
        </w:rPr>
        <w:t>b) allein aus Gründen herausgefunden,</w:t>
      </w:r>
    </w:p>
    <w:p>
      <w:pPr>
        <w:pStyle w:val="Flietext1"/>
        <w:keepNext w:val="false"/>
        <w:keepLines w:val="false"/>
        <w:widowControl w:val="false"/>
        <w:numPr>
          <w:ilvl w:val="0"/>
          <w:numId w:val="5"/>
        </w:numPr>
        <w:shd w:val="clear" w:color="auto" w:fill="auto"/>
        <w:tabs>
          <w:tab w:val="clear" w:pos="720"/>
          <w:tab w:val="left" w:pos="546" w:leader="none"/>
        </w:tabs>
        <w:bidi w:val="0"/>
        <w:spacing w:before="0" w:after="240"/>
        <w:ind w:left="0" w:right="0" w:firstLine="240"/>
        <w:jc w:val="left"/>
        <w:rPr/>
      </w:pPr>
      <w:r>
        <w:rPr>
          <w:color w:val="000000"/>
          <w:spacing w:val="0"/>
          <w:w w:val="100"/>
          <w:shd w:fill="auto" w:val="clear"/>
          <w:lang w:val="en-US" w:eastAsia="en-US" w:bidi="en-US"/>
        </w:rPr>
        <w:t>c) bindend für alle Menschen aufgrund grundlegender Merkmale des generischen Menschen, und</w:t>
      </w:r>
    </w:p>
    <w:p>
      <w:pPr>
        <w:pStyle w:val="Flietext1"/>
        <w:keepNext w:val="false"/>
        <w:keepLines w:val="false"/>
        <w:widowControl w:val="false"/>
        <w:shd w:val="clear" w:color="auto" w:fill="auto"/>
        <w:bidi w:val="0"/>
        <w:spacing w:before="0" w:after="40"/>
        <w:ind w:left="0" w:right="0" w:firstLine="240"/>
        <w:jc w:val="left"/>
        <w:rPr/>
      </w:pPr>
      <w:r>
        <w:rPr>
          <w:color w:val="000000"/>
          <w:spacing w:val="0"/>
          <w:w w:val="100"/>
          <w:shd w:fill="auto" w:val="clear"/>
          <w:lang w:val="en-US" w:eastAsia="en-US" w:bidi="en-US"/>
        </w:rPr>
        <w:t xml:space="preserve">• • </w:t>
      </w:r>
      <w:r>
        <w:rPr>
          <w:color w:val="000000"/>
          <w:spacing w:val="0"/>
          <w:w w:val="100"/>
          <w:shd w:fill="auto" w:val="clear"/>
          <w:lang w:val="en-US" w:eastAsia="en-US" w:bidi="en-US"/>
        </w:rPr>
        <w:t>d) an einen Gesellschaftsvertrag gebunden, der eine rationale Zustimmung beinhaltet.</w:t>
      </w:r>
    </w:p>
    <w:p>
      <w:pPr>
        <w:pStyle w:val="Flietext1"/>
        <w:keepNext w:val="false"/>
        <w:keepLines w:val="false"/>
        <w:widowControl w:val="false"/>
        <w:shd w:val="clear" w:color="auto" w:fill="auto"/>
        <w:bidi w:val="0"/>
        <w:spacing w:before="0" w:after="260"/>
        <w:ind w:left="0" w:right="0" w:hanging="0"/>
        <w:jc w:val="both"/>
        <w:rPr/>
      </w:pPr>
      <w:r>
        <w:rPr>
          <w:color w:val="000000"/>
          <w:spacing w:val="0"/>
          <w:w w:val="100"/>
          <w:shd w:fill="auto" w:val="clear"/>
          <w:lang w:val="en-US" w:eastAsia="en-US" w:bidi="en-US"/>
        </w:rPr>
        <w:t>Dies ist das Grundthema in seiner einfachsten Form; Obwohl die Details erheblich weiterentwickelt werden, ändern sich die Grundelemente nicht. Es bleibt abzuwarten, wie jeder der Kontraktualisten die Grundargumentation entwickelt, und zwar ob die Kombination von Naturrecht und Gesellschaftsvertrag ganz so unwahrscheinlich ist, wie es oft dargestellt wird.</w:t>
      </w:r>
    </w:p>
    <w:p>
      <w:pPr>
        <w:pStyle w:val="Flietext21"/>
        <w:keepNext w:val="false"/>
        <w:keepLines w:val="false"/>
        <w:widowControl w:val="false"/>
        <w:numPr>
          <w:ilvl w:val="0"/>
          <w:numId w:val="6"/>
        </w:numPr>
        <w:shd w:val="clear" w:color="auto" w:fill="auto"/>
        <w:tabs>
          <w:tab w:val="clear" w:pos="720"/>
          <w:tab w:val="left" w:pos="629" w:leader="none"/>
        </w:tabs>
        <w:bidi w:val="0"/>
        <w:spacing w:lineRule="auto" w:line="189" w:before="0" w:after="0"/>
        <w:ind w:left="0" w:right="0" w:firstLine="260"/>
        <w:jc w:val="both"/>
        <w:rPr/>
      </w:pPr>
      <w:r>
        <w:rPr>
          <w:color w:val="000000"/>
          <w:spacing w:val="0"/>
          <w:w w:val="100"/>
          <w:shd w:fill="auto" w:val="clear"/>
          <w:lang w:val="en-US" w:eastAsia="en-US" w:bidi="en-US"/>
        </w:rPr>
        <w:t>Sabine, Geschichte der politischen Theorie, S.430</w:t>
      </w:r>
    </w:p>
    <w:p>
      <w:pPr>
        <w:sectPr>
          <w:footerReference w:type="even" r:id="rId15"/>
          <w:footerReference w:type="default" r:id="rId16"/>
          <w:type w:val="nextPage"/>
          <w:pgSz w:w="12240" w:h="15840"/>
          <w:pgMar w:left="1488" w:right="1488" w:gutter="0" w:header="0" w:top="1416" w:footer="884" w:bottom="1312"/>
          <w:pgNumType w:fmt="decimal"/>
          <w:formProt w:val="false"/>
          <w:textDirection w:val="lrTb"/>
          <w:docGrid w:type="default" w:linePitch="360" w:charSpace="0"/>
        </w:sectPr>
        <w:pStyle w:val="Flietext21"/>
        <w:keepNext w:val="false"/>
        <w:keepLines w:val="false"/>
        <w:widowControl w:val="false"/>
        <w:numPr>
          <w:ilvl w:val="0"/>
          <w:numId w:val="6"/>
        </w:numPr>
        <w:shd w:val="clear" w:color="auto" w:fill="auto"/>
        <w:tabs>
          <w:tab w:val="clear" w:pos="720"/>
          <w:tab w:val="left" w:pos="594" w:leader="none"/>
        </w:tabs>
        <w:bidi w:val="0"/>
        <w:spacing w:lineRule="auto" w:line="220" w:before="0" w:after="160"/>
        <w:ind w:left="0" w:right="0" w:firstLine="260"/>
        <w:jc w:val="both"/>
        <w:rPr/>
      </w:pPr>
      <w:r>
        <w:rPr>
          <w:i/>
          <w:iCs/>
          <w:color w:val="000000"/>
          <w:spacing w:val="0"/>
          <w:w w:val="100"/>
          <w:shd w:fill="auto" w:val="clear"/>
          <w:lang w:val="en-US" w:eastAsia="en-US" w:bidi="en-US"/>
        </w:rPr>
        <w:t>vgl. Michael Oakeshott, „The Masses in Representative Democracy“ in Freedom and Serfdom: An Anthology of Western Thought (Hrsg. von Albert Hunold) (Dodrecht, Holland: D. Reidel Publishing Co., 1961), passim.</w:t>
      </w:r>
    </w:p>
    <w:p>
      <w:pPr>
        <w:pStyle w:val="Berschrift11"/>
        <w:keepNext w:val="true"/>
        <w:keepLines/>
        <w:widowControl w:val="false"/>
        <w:numPr>
          <w:ilvl w:val="0"/>
          <w:numId w:val="3"/>
        </w:numPr>
        <w:shd w:val="clear" w:color="auto" w:fill="auto"/>
        <w:tabs>
          <w:tab w:val="clear" w:pos="720"/>
          <w:tab w:val="left" w:pos="487" w:leader="none"/>
        </w:tabs>
        <w:bidi w:val="0"/>
        <w:spacing w:lineRule="auto" w:line="240" w:before="0" w:after="420"/>
        <w:ind w:left="0" w:right="0" w:hanging="0"/>
        <w:jc w:val="both"/>
        <w:rPr/>
      </w:pPr>
      <w:hyperlink w:anchor="bookmark9" w:tgtFrame="Current Document">
        <w:bookmarkStart w:id="21" w:name="bookmark30"/>
        <w:bookmarkStart w:id="22" w:name="bookmark32"/>
        <w:bookmarkStart w:id="23" w:name="bookmark31"/>
        <w:r>
          <w:rPr>
            <w:spacing w:val="0"/>
            <w:w w:val="100"/>
            <w:shd w:fill="auto" w:val="clear"/>
            <w:lang w:val="en-US" w:eastAsia="en-US" w:bidi="en-US"/>
          </w:rPr>
          <w:t>Das entwickelte Thema: 1. Hobbes</w:t>
        </w:r>
      </w:hyperlink>
      <w:bookmarkEnd w:id="21"/>
      <w:bookmarkEnd w:id="22"/>
      <w:bookmarkEnd w:id="23"/>
    </w:p>
    <w:p>
      <w:pPr>
        <w:pStyle w:val="Flietext1"/>
        <w:keepNext w:val="false"/>
        <w:keepLines w:val="false"/>
        <w:widowControl w:val="false"/>
        <w:shd w:val="clear" w:color="auto" w:fill="auto"/>
        <w:bidi w:val="0"/>
        <w:spacing w:before="0" w:after="260"/>
        <w:ind w:left="0" w:right="0" w:firstLine="280"/>
        <w:jc w:val="both"/>
        <w:rPr/>
      </w:pPr>
      <w:r>
        <w:rPr>
          <w:color w:val="000000"/>
          <w:spacing w:val="0"/>
          <w:w w:val="100"/>
          <w:shd w:fill="auto" w:val="clear"/>
          <w:lang w:val="en-US" w:eastAsia="en-US" w:bidi="en-US"/>
        </w:rPr>
        <w:t>Der englische Bürgerkrieg und die damit einhergehende lange Zeit weit verbreiteter sozialer Unruhen20 lieferten der politischen Philosophie die scharfsinnigen und immer wieder relevanten Einsichten von Thomas Hobbes. Es war eine Zeit, in der die feudale Ordnung durch die industrielle abgelöst wurde21 und damit eine Zeit, in der die traditionellen Bindungen der Gesellschaft an Kraft und Bedeutung zu verlieren schienen; Sein Ziel war nichts Geringeres, als eine neue logische und rationale Grundlage für Gesellschaft und Staat zu schaffen. Seine eigenen Beobachtungen widerlegten den Glauben, dass der Mensch von Natur aus ein politisches Tier sei (das heißt, dass eine stabile Zusammenarbeit einfach angenommen werden könne), und deshalb akzeptierte er stattdessen, wie Marsilius und Machiavelli, die inhärente Zerbrechlichkeit der sozialen Ordnung und die daraus resultierende Notwendigkeit von Zwang Autorität, die von Natur aus asozialen Wünsche einzelner Männer zu zügeln. Für Hobbes wie für Marsilius ist die Sorge unverhüllt; der Punkt, ab dem ein argumentativer Regress unmöglich ist, ist der Nachweis, dass die einzige Alternative der Untergang des Staates ist. Was Hobbes von seinen intellektuellen Vorläufern unterscheidet, ist die unerbittliche Gründlichkeit, mit der er sein Thema entwickelt; er ist der Ordnungsphilosoph schlechthin. Die Tatsache, dass Hobbes im Bürgerkrieg eine Präferenz für eine Seite angegeben hat22, reduziert sein Schreiben nicht auf ein politisches Traktat, da seine Argumentation auf einer viel grundlegenderen Ebene steht als die der Teilnehmer an diesem Kampf. Ihnen ging es um Legitimität, ihm um Sicherheit – um Sicherheit übrigens, um ihren Streit trivial und töricht zu machen.</w:t>
      </w:r>
    </w:p>
    <w:p>
      <w:pPr>
        <w:pStyle w:val="Flietext21"/>
        <w:keepNext w:val="false"/>
        <w:keepLines w:val="false"/>
        <w:widowControl w:val="false"/>
        <w:numPr>
          <w:ilvl w:val="0"/>
          <w:numId w:val="6"/>
        </w:numPr>
        <w:shd w:val="clear" w:color="auto" w:fill="auto"/>
        <w:tabs>
          <w:tab w:val="clear" w:pos="720"/>
          <w:tab w:val="left" w:pos="538" w:leader="none"/>
        </w:tabs>
        <w:bidi w:val="0"/>
        <w:spacing w:lineRule="auto" w:line="228" w:before="0" w:after="0"/>
        <w:ind w:left="0" w:right="0" w:firstLine="280"/>
        <w:jc w:val="both"/>
        <w:rPr/>
      </w:pPr>
      <w:r>
        <w:rPr>
          <w:color w:val="000000"/>
          <w:spacing w:val="0"/>
          <w:w w:val="100"/>
          <w:shd w:fill="auto" w:val="clear"/>
          <w:lang w:val="en-US" w:eastAsia="en-US" w:bidi="en-US"/>
        </w:rPr>
        <w:t>Es ist wichtig, die Reaktion von Hobbes nicht als rein engstirnig zu sehen; Gotesky bemerkt dazu: „In der Zeit von 1525 bis 1676, etwas mehr als einhundertfünfzig Jahre ... wurden mehr als achtzig große Kriege geführt ... Die meisten davon waren Bürgerkriege. Ohne Übertreibung hat Europa in dieser ganzen Zeit keinen einzigen Tag des Friedens erlebt.“ vgl. Rubin Gotesky, „Social Sources and the Significance of Hobbes' Conception of the Law of Nature“, Ethics, Bd. L Nr. 4 (Juli 1940), S. 405.</w:t>
      </w:r>
    </w:p>
    <w:p>
      <w:pPr>
        <w:pStyle w:val="Flietext21"/>
        <w:keepNext w:val="false"/>
        <w:keepLines w:val="false"/>
        <w:widowControl w:val="false"/>
        <w:numPr>
          <w:ilvl w:val="0"/>
          <w:numId w:val="6"/>
        </w:numPr>
        <w:shd w:val="clear" w:color="auto" w:fill="auto"/>
        <w:tabs>
          <w:tab w:val="clear" w:pos="720"/>
          <w:tab w:val="left" w:pos="538" w:leader="none"/>
        </w:tabs>
        <w:bidi w:val="0"/>
        <w:spacing w:lineRule="auto" w:line="213" w:before="0" w:after="0"/>
        <w:ind w:left="0" w:right="0" w:firstLine="280"/>
        <w:jc w:val="both"/>
        <w:rPr/>
      </w:pPr>
      <w:r>
        <w:rPr>
          <w:color w:val="000000"/>
          <w:spacing w:val="0"/>
          <w:w w:val="100"/>
          <w:shd w:fill="auto" w:val="clear"/>
          <w:lang w:val="en-US" w:eastAsia="en-US" w:bidi="en-US"/>
        </w:rPr>
        <w:t>ein solcher Punkt ist zentral für z.B. C. B. Macpherson, The Political Theory of Possessive Individualism: Hobbes to Locke, (London, Oxford &amp; New York: Oxford University Press, 1962).</w:t>
      </w:r>
    </w:p>
    <w:p>
      <w:pPr>
        <w:pStyle w:val="Flietext21"/>
        <w:keepNext w:val="false"/>
        <w:keepLines w:val="false"/>
        <w:widowControl w:val="false"/>
        <w:numPr>
          <w:ilvl w:val="0"/>
          <w:numId w:val="6"/>
        </w:numPr>
        <w:shd w:val="clear" w:color="auto" w:fill="auto"/>
        <w:tabs>
          <w:tab w:val="clear" w:pos="720"/>
          <w:tab w:val="left" w:pos="529" w:leader="none"/>
        </w:tabs>
        <w:bidi w:val="0"/>
        <w:spacing w:lineRule="auto" w:line="213" w:before="0" w:after="200"/>
        <w:ind w:left="0" w:right="0" w:firstLine="280"/>
        <w:jc w:val="both"/>
        <w:rPr/>
      </w:pPr>
      <w:r>
        <w:rPr>
          <w:color w:val="000000"/>
          <w:spacing w:val="0"/>
          <w:w w:val="100"/>
          <w:shd w:fill="auto" w:val="clear"/>
          <w:lang w:val="en-US" w:eastAsia="en-US" w:bidi="en-US"/>
        </w:rPr>
        <w:t>Hobbes, Leviathan, Teil II, Kap. 19, S. 241. Alle Seitenzahlen stammen aus der Pelican Classics Edition, hrsg. von C. B. Macpherson (Harmondsworth, England: Penguin Books Inc., 1968).</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Das oft zitierte Epigramm fasst den Geist des Hobbesschen Beitrags zur politischen Theorie am besten zusammen: „Covenants, without the Sword, are but Words, and of no force to secure a man at all.“23 Das Schwert ist für ihn von zentraler Bedeutung ; Zwang wird nicht nur hingenommen, sondern gefeiert. Im Gegensatz zu modernen Kritikern, die die Gefahren der überwältigenden Macht des Staates befürchten, obwohl sie die Notwendigkeit staatlichen Handelns akzeptieren, sah Hobbes das wichtigste und wünschenswerteste Merkmal der Regierung in genau dieser überwältigenden Zwangsgewalt und der Bereitschaft, sie einzusetzen . Das Schwert bildete die Grundlage der Zivilgesellschaft, und sein häufiger Gebrauch oder die Androhung seines Gebrauchs war der Schlüssel zum Erhalt einer solchen Gesellschaft.</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Hobbes' Beschreibung der Männer, die eine solche Gesellschaft gründeten, ist zu Recht berühmt. Die Struktur von Leviathan deutet darauf hin, dass er den Charakter dieser Personen aus einer Theorie der Psychologie in Begriffen der „Bewegung hin zu“ und der „Bewegung weg von“24 ableitete; tatsächlich, wie Bischof Butler mit großer Wirkung hervorhob, war der Sprung von diesen „ Bemühungen“ zum Egoismus ist eher skizzenhaft und schwach. Realistischer eingeschätzt hat Hobbes den natürlichen Menschen durch die Prozesse der Beobachtung und Introspektion entdeckt,25 und dies ist der operative Ausgangspunkt seines politischen Konstrukts, wobei die psychologische Theorie einen unbedeutenden Nebenschauplatz liefert.</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Die durch diese Selbstbeobachtung entdeckte menschliche Natur ist ein äußerst wenig schmeichelhaftes Selbstporträt. Der natürliche Mensch ist gierig, ehrgeizig, eitel und zurückhaltend.26 Er strebt nicht nur nach dem Überleben – wie Warrender betont, wenn alle Menschen nur nach Selbstverteidigung streben würden, wäre das Problem der Gewalt eliminiert27, sondern auch danach, sich als besser als andere Menschen zu beweisen. Menschen sind weiterhin rational, aber die Vernunft übernimmt eine instrumentelle (wenn auch wichtige) Funktion. Von einem solchen Ausgangspunkt aus kann die Interaktion der Menschen im regierungslosen natürlichen Zustand der Menschheit als „einsam, arm, böse, brutal und kurz“ beschrieben werden.28 Wettbewerb und Unsicherheit sind unaufhörlich; Obwohl Zusammenarbeit nicht nur nicht unmöglich, sondern absolut notwendig ist,29 ist es unmöglich, dass solche kooperierenden Individuen jemals dem gegenseitigen Misstrauen entkommen könnten, das im natürlichen Zustand der Menschheit unvermeidlich ist.30 Hobbes besteht darauf, dass „Krieg nicht nur aus Kampf besteht“, sondern stattdessen zieht es in den noch unsichereren und entnervenderen Zustand „eines Zeitraums, in dem der Wille zum Kampf hinreichend bekannt ist.“31 Die so beschriebene menschliche Situation wurde zu Recht als „der berühmteste politische Albtraum in der Geschichte von Philosophie.“32 Ferner ist die Natur des Menschen keine Frage der Geschichte – Hobbes selbst hat bestritten, dass der natürliche Zustand der Menschheit tatsächlich existiert hat33 –, sondern eine zeitlos gültige Beschreibung. Wie Minogue es ausdrückt:</w:t>
      </w:r>
    </w:p>
    <w:p>
      <w:pPr>
        <w:pStyle w:val="Flietext1"/>
        <w:keepNext w:val="false"/>
        <w:keepLines w:val="false"/>
        <w:widowControl w:val="false"/>
        <w:shd w:val="clear" w:color="auto" w:fill="auto"/>
        <w:bidi w:val="0"/>
        <w:spacing w:before="0" w:after="260"/>
        <w:ind w:left="240" w:right="0" w:firstLine="380"/>
        <w:jc w:val="left"/>
        <w:rPr/>
      </w:pPr>
      <w:r>
        <w:rPr>
          <w:color w:val="000000"/>
          <w:spacing w:val="0"/>
          <w:w w:val="100"/>
          <w:shd w:fill="auto" w:val="clear"/>
          <w:vertAlign w:val="superscript"/>
          <w:lang w:val="en-US" w:eastAsia="en-US" w:bidi="en-US"/>
        </w:rPr>
        <w:t>Der Naturzustand als Kriegszustand ist kein halbhistorischer Mythos, der in ferner Vergangenheit angesiedelt ist; es ist ein allgegenwärtiger Abgrund, den wir täglich umschiffen und glücklicherweise, aber unklug vergessen.34</w:t>
      </w:r>
    </w:p>
    <w:p>
      <w:pPr>
        <w:pStyle w:val="Flietext21"/>
        <w:keepNext w:val="false"/>
        <w:keepLines w:val="false"/>
        <w:widowControl w:val="false"/>
        <w:numPr>
          <w:ilvl w:val="0"/>
          <w:numId w:val="6"/>
        </w:numPr>
        <w:shd w:val="clear" w:color="auto" w:fill="auto"/>
        <w:tabs>
          <w:tab w:val="clear" w:pos="720"/>
          <w:tab w:val="left" w:pos="611" w:leader="none"/>
        </w:tabs>
        <w:bidi w:val="0"/>
        <w:spacing w:lineRule="auto" w:line="189" w:before="0" w:after="0"/>
        <w:ind w:left="0" w:right="0" w:firstLine="260"/>
        <w:jc w:val="both"/>
        <w:rPr/>
      </w:pPr>
      <w:r>
        <w:rPr>
          <w:color w:val="000000"/>
          <w:spacing w:val="0"/>
          <w:w w:val="100"/>
          <w:shd w:fill="auto" w:val="clear"/>
          <w:lang w:val="en-US" w:eastAsia="en-US" w:bidi="en-US"/>
        </w:rPr>
        <w:t>Hobbes, Leviathan, Teil II, Kapitel 17; S.223</w:t>
      </w:r>
    </w:p>
    <w:p>
      <w:pPr>
        <w:pStyle w:val="Flietext21"/>
        <w:keepNext w:val="false"/>
        <w:keepLines w:val="false"/>
        <w:widowControl w:val="false"/>
        <w:numPr>
          <w:ilvl w:val="0"/>
          <w:numId w:val="6"/>
        </w:numPr>
        <w:shd w:val="clear" w:color="auto" w:fill="auto"/>
        <w:tabs>
          <w:tab w:val="clear" w:pos="720"/>
          <w:tab w:val="left" w:pos="611" w:leader="none"/>
        </w:tabs>
        <w:bidi w:val="0"/>
        <w:spacing w:lineRule="auto" w:line="189" w:before="0" w:after="0"/>
        <w:ind w:left="0" w:right="0" w:firstLine="260"/>
        <w:jc w:val="both"/>
        <w:rPr/>
      </w:pPr>
      <w:r>
        <w:rPr>
          <w:i/>
          <w:iCs/>
          <w:color w:val="000000"/>
          <w:spacing w:val="0"/>
          <w:w w:val="100"/>
          <w:shd w:fill="auto" w:val="clear"/>
          <w:lang w:val="en-US" w:eastAsia="en-US" w:bidi="en-US"/>
        </w:rPr>
        <w:t>Hobbes, Leviathan, Teil I. Kap.6, passim.</w:t>
      </w:r>
    </w:p>
    <w:p>
      <w:pPr>
        <w:pStyle w:val="Flietext21"/>
        <w:keepNext w:val="false"/>
        <w:keepLines w:val="false"/>
        <w:widowControl w:val="false"/>
        <w:numPr>
          <w:ilvl w:val="0"/>
          <w:numId w:val="6"/>
        </w:numPr>
        <w:shd w:val="clear" w:color="auto" w:fill="auto"/>
        <w:tabs>
          <w:tab w:val="clear" w:pos="720"/>
          <w:tab w:val="left" w:pos="611" w:leader="none"/>
        </w:tabs>
        <w:bidi w:val="0"/>
        <w:spacing w:lineRule="auto" w:line="189" w:before="0" w:after="0"/>
        <w:ind w:left="0" w:right="0" w:firstLine="260"/>
        <w:jc w:val="both"/>
        <w:rPr/>
      </w:pPr>
      <w:r>
        <w:rPr>
          <w:color w:val="000000"/>
          <w:spacing w:val="0"/>
          <w:w w:val="100"/>
          <w:shd w:fill="auto" w:val="clear"/>
          <w:lang w:val="en-US" w:eastAsia="en-US" w:bidi="en-US"/>
        </w:rPr>
        <w:t>Hobbes, Leviathan, Einführung</w:t>
      </w:r>
    </w:p>
    <w:p>
      <w:pPr>
        <w:pStyle w:val="Flietext21"/>
        <w:keepNext w:val="false"/>
        <w:keepLines w:val="false"/>
        <w:widowControl w:val="false"/>
        <w:numPr>
          <w:ilvl w:val="0"/>
          <w:numId w:val="6"/>
        </w:numPr>
        <w:shd w:val="clear" w:color="auto" w:fill="auto"/>
        <w:tabs>
          <w:tab w:val="clear" w:pos="720"/>
          <w:tab w:val="left" w:pos="611" w:leader="none"/>
        </w:tabs>
        <w:bidi w:val="0"/>
        <w:spacing w:lineRule="auto" w:line="189" w:before="0" w:after="0"/>
        <w:ind w:left="0" w:right="0" w:firstLine="260"/>
        <w:jc w:val="both"/>
        <w:rPr/>
      </w:pPr>
      <w:r>
        <w:rPr>
          <w:i/>
          <w:iCs/>
          <w:color w:val="000000"/>
          <w:spacing w:val="0"/>
          <w:w w:val="100"/>
          <w:shd w:fill="auto" w:val="clear"/>
          <w:lang w:val="en-US" w:eastAsia="en-US" w:bidi="en-US"/>
        </w:rPr>
        <w:t>Hobbes, Leviathan, Teil I. Kap. 13, passim.</w:t>
      </w:r>
    </w:p>
    <w:p>
      <w:pPr>
        <w:pStyle w:val="Flietext21"/>
        <w:keepNext w:val="false"/>
        <w:keepLines w:val="false"/>
        <w:widowControl w:val="false"/>
        <w:numPr>
          <w:ilvl w:val="0"/>
          <w:numId w:val="6"/>
        </w:numPr>
        <w:shd w:val="clear" w:color="auto" w:fill="auto"/>
        <w:tabs>
          <w:tab w:val="clear" w:pos="720"/>
          <w:tab w:val="left" w:pos="577" w:leader="none"/>
        </w:tabs>
        <w:bidi w:val="0"/>
        <w:spacing w:lineRule="auto" w:line="213" w:before="0" w:after="0"/>
        <w:ind w:left="0" w:right="0" w:firstLine="260"/>
        <w:jc w:val="both"/>
        <w:rPr/>
      </w:pPr>
      <w:r>
        <w:rPr>
          <w:color w:val="000000"/>
          <w:spacing w:val="0"/>
          <w:w w:val="100"/>
          <w:shd w:fill="auto" w:val="clear"/>
          <w:lang w:val="en-US" w:eastAsia="en-US" w:bidi="en-US"/>
        </w:rPr>
        <w:t>Howard Warrender, The Political Philosophy of Thomas Hobbes (Oxford: Clarendon Press, 1957), S. 64.</w:t>
      </w:r>
    </w:p>
    <w:p>
      <w:pPr>
        <w:pStyle w:val="Flietext21"/>
        <w:keepNext w:val="false"/>
        <w:keepLines w:val="false"/>
        <w:widowControl w:val="false"/>
        <w:numPr>
          <w:ilvl w:val="0"/>
          <w:numId w:val="6"/>
        </w:numPr>
        <w:shd w:val="clear" w:color="auto" w:fill="auto"/>
        <w:tabs>
          <w:tab w:val="clear" w:pos="720"/>
          <w:tab w:val="left" w:pos="611" w:leader="none"/>
        </w:tabs>
        <w:bidi w:val="0"/>
        <w:spacing w:lineRule="auto" w:line="189" w:before="0" w:after="0"/>
        <w:ind w:left="0" w:right="0" w:firstLine="260"/>
        <w:jc w:val="both"/>
        <w:rPr/>
      </w:pPr>
      <w:r>
        <w:rPr>
          <w:color w:val="000000"/>
          <w:spacing w:val="0"/>
          <w:w w:val="100"/>
          <w:shd w:fill="auto" w:val="clear"/>
          <w:lang w:val="en-US" w:eastAsia="en-US" w:bidi="en-US"/>
        </w:rPr>
        <w:t>Hobbes, Leviathan, Teil I. Kapitel 13, S. 186</w:t>
      </w:r>
    </w:p>
    <w:p>
      <w:pPr>
        <w:pStyle w:val="Flietext21"/>
        <w:keepNext w:val="false"/>
        <w:keepLines w:val="false"/>
        <w:widowControl w:val="false"/>
        <w:numPr>
          <w:ilvl w:val="0"/>
          <w:numId w:val="6"/>
        </w:numPr>
        <w:shd w:val="clear" w:color="auto" w:fill="auto"/>
        <w:tabs>
          <w:tab w:val="clear" w:pos="720"/>
          <w:tab w:val="left" w:pos="572" w:leader="none"/>
        </w:tabs>
        <w:bidi w:val="0"/>
        <w:spacing w:lineRule="auto" w:line="216" w:before="0" w:after="0"/>
        <w:ind w:left="0" w:right="0" w:firstLine="260"/>
        <w:jc w:val="both"/>
        <w:rPr/>
      </w:pPr>
      <w:r>
        <w:rPr>
          <w:color w:val="000000"/>
          <w:spacing w:val="0"/>
          <w:w w:val="100"/>
          <w:shd w:fill="auto" w:val="clear"/>
          <w:lang w:val="en-US" w:eastAsia="en-US" w:bidi="en-US"/>
        </w:rPr>
        <w:t>Hobbes, Leviathan, Teil I, Kap. 15, S. 204: „In einem Zustand von Warre … gibt es keinen Menschen, der hoffen kann, sich aus eigener Kraft oder mit sich selbst vor der Zerstörung ohne die Hilfe der Konföderierten zu verteidigen.“ .</w:t>
      </w:r>
    </w:p>
    <w:p>
      <w:pPr>
        <w:pStyle w:val="Flietext21"/>
        <w:keepNext w:val="false"/>
        <w:keepLines w:val="false"/>
        <w:widowControl w:val="false"/>
        <w:numPr>
          <w:ilvl w:val="0"/>
          <w:numId w:val="6"/>
        </w:numPr>
        <w:shd w:val="clear" w:color="auto" w:fill="auto"/>
        <w:tabs>
          <w:tab w:val="clear" w:pos="720"/>
          <w:tab w:val="left" w:pos="591" w:leader="none"/>
        </w:tabs>
        <w:bidi w:val="0"/>
        <w:spacing w:lineRule="auto" w:line="189" w:before="0" w:after="0"/>
        <w:ind w:left="0" w:right="0" w:firstLine="240"/>
        <w:jc w:val="left"/>
        <w:rPr/>
      </w:pPr>
      <w:r>
        <w:rPr>
          <w:color w:val="000000"/>
          <w:spacing w:val="0"/>
          <w:w w:val="100"/>
          <w:shd w:fill="auto" w:val="clear"/>
          <w:lang w:val="en-US" w:eastAsia="en-US" w:bidi="en-US"/>
        </w:rPr>
        <w:t>Hobbes, Leviathan, Teil I Kap.14; S.196</w:t>
      </w:r>
    </w:p>
    <w:p>
      <w:pPr>
        <w:pStyle w:val="Flietext21"/>
        <w:keepNext w:val="false"/>
        <w:keepLines w:val="false"/>
        <w:widowControl w:val="false"/>
        <w:numPr>
          <w:ilvl w:val="0"/>
          <w:numId w:val="6"/>
        </w:numPr>
        <w:shd w:val="clear" w:color="auto" w:fill="auto"/>
        <w:tabs>
          <w:tab w:val="clear" w:pos="720"/>
          <w:tab w:val="left" w:pos="591" w:leader="none"/>
        </w:tabs>
        <w:bidi w:val="0"/>
        <w:spacing w:lineRule="auto" w:line="189" w:before="0" w:after="0"/>
        <w:ind w:left="0" w:right="0" w:firstLine="240"/>
        <w:jc w:val="left"/>
        <w:rPr/>
      </w:pPr>
      <w:r>
        <w:rPr>
          <w:color w:val="000000"/>
          <w:spacing w:val="0"/>
          <w:w w:val="100"/>
          <w:shd w:fill="auto" w:val="clear"/>
          <w:lang w:val="en-US" w:eastAsia="en-US" w:bidi="en-US"/>
        </w:rPr>
        <w:t>Hobbes, Leviathan, Teil I. Kapitel 13, S. 186.</w:t>
      </w:r>
    </w:p>
    <w:p>
      <w:pPr>
        <w:pStyle w:val="Flietext21"/>
        <w:keepNext w:val="false"/>
        <w:keepLines w:val="false"/>
        <w:widowControl w:val="false"/>
        <w:numPr>
          <w:ilvl w:val="0"/>
          <w:numId w:val="6"/>
        </w:numPr>
        <w:shd w:val="clear" w:color="auto" w:fill="auto"/>
        <w:tabs>
          <w:tab w:val="clear" w:pos="720"/>
          <w:tab w:val="left" w:pos="577" w:leader="none"/>
        </w:tabs>
        <w:bidi w:val="0"/>
        <w:spacing w:lineRule="auto" w:line="213" w:before="0" w:after="0"/>
        <w:ind w:left="0" w:right="0" w:firstLine="260"/>
        <w:jc w:val="both"/>
        <w:rPr/>
      </w:pPr>
      <w:r>
        <w:rPr>
          <w:color w:val="000000"/>
          <w:spacing w:val="0"/>
          <w:w w:val="100"/>
          <w:shd w:fill="auto" w:val="clear"/>
          <w:lang w:val="en-US" w:eastAsia="en-US" w:bidi="en-US"/>
        </w:rPr>
        <w:t>K.R. Minogue, „Thomas Hobbes und die Philosophie des Absolutismus“, in Political Ideas, hrsg. von David Thomson (Harmondsworth, England: Penguin Books Ltd., 1966), S. 54.</w:t>
      </w:r>
    </w:p>
    <w:p>
      <w:pPr>
        <w:pStyle w:val="Flietext21"/>
        <w:keepNext w:val="false"/>
        <w:keepLines w:val="false"/>
        <w:widowControl w:val="false"/>
        <w:numPr>
          <w:ilvl w:val="0"/>
          <w:numId w:val="6"/>
        </w:numPr>
        <w:shd w:val="clear" w:color="auto" w:fill="auto"/>
        <w:tabs>
          <w:tab w:val="clear" w:pos="720"/>
          <w:tab w:val="left" w:pos="591" w:leader="none"/>
        </w:tabs>
        <w:bidi w:val="0"/>
        <w:spacing w:lineRule="auto" w:line="189" w:before="0" w:after="200"/>
        <w:ind w:left="0" w:right="0" w:firstLine="240"/>
        <w:jc w:val="left"/>
        <w:rPr/>
      </w:pPr>
      <w:r>
        <w:rPr>
          <w:color w:val="000000"/>
          <w:spacing w:val="0"/>
          <w:w w:val="100"/>
          <w:shd w:fill="auto" w:val="clear"/>
          <w:lang w:val="en-US" w:eastAsia="en-US" w:bidi="en-US"/>
        </w:rPr>
        <w:t>Hobbes, Leviathan, Teil I, Kapitel 13, S. 187.</w:t>
      </w:r>
    </w:p>
    <w:p>
      <w:pPr>
        <w:pStyle w:val="Flietext1"/>
        <w:keepNext w:val="false"/>
        <w:keepLines w:val="false"/>
        <w:widowControl w:val="false"/>
        <w:shd w:val="clear" w:color="auto" w:fill="auto"/>
        <w:bidi w:val="0"/>
        <w:spacing w:before="0" w:after="0"/>
        <w:ind w:left="0" w:right="0" w:hanging="0"/>
        <w:jc w:val="both"/>
        <w:rPr/>
      </w:pPr>
      <w:r>
        <w:rPr>
          <w:color w:val="000000"/>
          <w:spacing w:val="0"/>
          <w:w w:val="100"/>
          <w:shd w:fill="auto" w:val="clear"/>
          <w:lang w:val="en-US" w:eastAsia="en-US" w:bidi="en-US"/>
        </w:rPr>
        <w:t>Der springende Punkt des Hobbesschen Konstrukts des natürlichen Zustands der Menschheit ist, dass es sich nicht um eine verworfene oder transzendierte Ebene handelt, sondern um eine allgegenwärtige und unterdrückte Realität, so wie eine nukleare Explosion die unterdrückte Realität eines nuklearen Elektrizitätswerks ist ist eine Realität, die ein vernünftiger Mensch nur verdrängen wollte. Der Mensch in der Gesellschaft unterscheidet sich psychologisch in keiner Weise vom natürlichen Menschen; Wettbewerb, Aneignung und Selbstachtung bleiben bestehen, denn die Hobbes'sche Theorie der menschlichen Natur befindet sich außerhalb und jenseits des historischen Prozesses. Alles, was die soziale Ordnung vom natürlichen Chaos trennt, ist eine externe Instanz, die die antisozialen Neigungen von Individuen überprüft. Diese externe Instanz ist der Souverän, und seine Macht ist die Voraussetzung der sozialen Ordnung und jeder stabilen Zusammenarbeit.</w:t>
      </w:r>
    </w:p>
    <w:p>
      <w:pPr>
        <w:pStyle w:val="Flietext1"/>
        <w:keepNext w:val="false"/>
        <w:keepLines w:val="false"/>
        <w:widowControl w:val="false"/>
        <w:shd w:val="clear" w:color="auto" w:fill="auto"/>
        <w:bidi w:val="0"/>
        <w:spacing w:before="0" w:after="280"/>
        <w:ind w:left="0" w:right="0" w:firstLine="260"/>
        <w:jc w:val="both"/>
        <w:rPr/>
      </w:pPr>
      <w:r>
        <w:rPr>
          <w:color w:val="000000"/>
          <w:spacing w:val="0"/>
          <w:w w:val="100"/>
          <w:shd w:fill="auto" w:val="clear"/>
          <w:lang w:val="en-US" w:eastAsia="en-US" w:bidi="en-US"/>
        </w:rPr>
        <w:t>Als Geschichtstheorie ist Hobbes' Darstellung der Gesellschaftsentstehung absurd, und Sabine darf ihn mit Recht dafür zur Rechenschaft ziehen.35 Es ist jedoch von vornherein klar, dass ihn die Geschichte nicht angeht; Die vertragsgenerierende Gesellschaft und stabile Zusammenarbeit ist keine Frage der Geschichte, sondern der Logik. (Laski bringt es auf den Punkt, wenn er sagt, dass „Hobbes sich nicht um den Vertrag kümmerte, solange gezeigt werden konnte, dass eine starke Regierung in der natürlichen Schlechtigkeit des Menschen enthalten ist“36, obwohl eine solche Behauptung dazu neigt, das Baby mit dem Bade auszuschütten, indem er impliziert dass die Vertragsform überhaupt keine Bedeutung hat, was einfach falsch ist.) Selbst wenn die Frage der Historizität verworfen wird, neigen Schriftsteller dazu, sich zu stark mit dem Egoismus von Hobbes zu beschäftigen; Flathman ist das beste Beispiel für ein solches Versagen, der den Egoismus sieht, aber alles andere übersieht und fälschlicherweise zu dem Schluss kommt, dass seine vernichtende Darstellung etwas mit Hobbes zu tun hat.568 Sogar Sabine ist fasziniert: das wackelige Gleichgewicht zwischen Gier und Eitelkeit auf der einen Seite , und die Angst vor dem Tod auf der anderen Seite, erlaubt es den Menschen, ihre Notlage zu sehen und rationale Fluchtwege in Betracht zu ziehen.569 Solche Darstellungen verzerren einfach die Argumentation von Hobbes, ohne dass es einen ausgleichenden Nutzen gibt.</w:t>
      </w:r>
    </w:p>
    <w:p>
      <w:pPr>
        <w:pStyle w:val="Flietext21"/>
        <w:keepNext w:val="false"/>
        <w:keepLines w:val="false"/>
        <w:widowControl w:val="false"/>
        <w:numPr>
          <w:ilvl w:val="0"/>
          <w:numId w:val="6"/>
        </w:numPr>
        <w:shd w:val="clear" w:color="auto" w:fill="auto"/>
        <w:tabs>
          <w:tab w:val="clear" w:pos="720"/>
          <w:tab w:val="left" w:pos="553" w:leader="none"/>
        </w:tabs>
        <w:bidi w:val="0"/>
        <w:spacing w:lineRule="auto" w:line="192" w:before="0" w:after="0"/>
        <w:ind w:left="0" w:right="0" w:firstLine="240"/>
        <w:jc w:val="left"/>
        <w:rPr/>
      </w:pPr>
      <w:r>
        <w:rPr>
          <w:color w:val="000000"/>
          <w:spacing w:val="0"/>
          <w:w w:val="100"/>
          <w:shd w:fill="auto" w:val="clear"/>
          <w:lang w:val="en-US" w:eastAsia="en-US" w:bidi="en-US"/>
        </w:rPr>
        <w:t>Minogue, op.cit., S.59</w:t>
      </w:r>
    </w:p>
    <w:p>
      <w:pPr>
        <w:pStyle w:val="Flietext21"/>
        <w:keepNext w:val="false"/>
        <w:keepLines w:val="false"/>
        <w:widowControl w:val="false"/>
        <w:numPr>
          <w:ilvl w:val="0"/>
          <w:numId w:val="6"/>
        </w:numPr>
        <w:shd w:val="clear" w:color="auto" w:fill="auto"/>
        <w:tabs>
          <w:tab w:val="clear" w:pos="720"/>
          <w:tab w:val="left" w:pos="553" w:leader="none"/>
        </w:tabs>
        <w:bidi w:val="0"/>
        <w:spacing w:lineRule="auto" w:line="192" w:before="0" w:after="0"/>
        <w:ind w:left="0" w:right="0" w:firstLine="240"/>
        <w:jc w:val="left"/>
        <w:rPr/>
      </w:pPr>
      <w:r>
        <w:rPr>
          <w:color w:val="000000"/>
          <w:spacing w:val="0"/>
          <w:w w:val="100"/>
          <w:shd w:fill="auto" w:val="clear"/>
          <w:lang w:val="en-US" w:eastAsia="en-US" w:bidi="en-US"/>
        </w:rPr>
        <w:t>Sabine, Geschichte der politischen Theorie, S.469</w:t>
      </w:r>
    </w:p>
    <w:p>
      <w:pPr>
        <w:pStyle w:val="Flietext21"/>
        <w:keepNext w:val="false"/>
        <w:keepLines w:val="false"/>
        <w:widowControl w:val="false"/>
        <w:numPr>
          <w:ilvl w:val="0"/>
          <w:numId w:val="6"/>
        </w:numPr>
        <w:shd w:val="clear" w:color="auto" w:fill="auto"/>
        <w:tabs>
          <w:tab w:val="clear" w:pos="720"/>
          <w:tab w:val="left" w:pos="538" w:leader="none"/>
        </w:tabs>
        <w:bidi w:val="0"/>
        <w:spacing w:lineRule="auto" w:line="216" w:before="0" w:after="200"/>
        <w:ind w:left="0" w:right="0" w:firstLine="300"/>
        <w:jc w:val="both"/>
        <w:rPr/>
      </w:pPr>
      <w:r>
        <w:rPr>
          <w:color w:val="000000"/>
          <w:spacing w:val="0"/>
          <w:w w:val="100"/>
          <w:shd w:fill="auto" w:val="clear"/>
          <w:lang w:val="en-US" w:eastAsia="en-US" w:bidi="en-US"/>
        </w:rPr>
        <w:t>Harold J. Laski, Political Thought in England: Locke to Bentham (London: Oxford University Press, 1945), S. 24.</w:t>
      </w:r>
    </w:p>
    <w:p>
      <w:pPr>
        <w:pStyle w:val="Flietext1"/>
        <w:keepNext w:val="false"/>
        <w:keepLines w:val="false"/>
        <w:widowControl w:val="false"/>
        <w:shd w:val="clear" w:color="auto" w:fill="auto"/>
        <w:bidi w:val="0"/>
        <w:spacing w:before="0" w:after="0"/>
        <w:ind w:left="0" w:right="0" w:firstLine="300"/>
        <w:jc w:val="both"/>
        <w:rPr/>
      </w:pPr>
      <w:r>
        <w:rPr>
          <w:color w:val="000000"/>
          <w:spacing w:val="0"/>
          <w:w w:val="100"/>
          <w:shd w:fill="auto" w:val="clear"/>
          <w:lang w:val="en-US" w:eastAsia="en-US" w:bidi="en-US"/>
        </w:rPr>
        <w:t>Der entscheidende Punkt bei Hobbes' Ausweg aus diesem scheinbaren Dilemma ist die Erhebung einer der Eigenschaften des natürlichen Menschen zum Naturgesetz. Wenn es um den natürlichen Zustand der Menschheit geht, finden wir den natürlichen Menschen gierig, konkurrierend, eitel, schüchtern und todesängstlich.568 Wendet sich die Behandlung dem Naturrecht zu, bleibt davon nur die Angst vor dem Tod.569 Die Vernunft ist in der Tat ein Kundschafter für die Leidenschaften570, und in vielen Fällen kann dies tatsächlich bedeuten, dass sie einem sich ständig ändernden Muster von Begierden und Wünschen zur Verfügung steht. Der wichtige Punkt ist, dass die Vernunft nicht immer auf solchen wechselnden Grundlagen basiert, sondern wenn die Situation ernst ist, sie nur der einen Hauptleidenschaft dient, der Todesangst, und das gilt für alle vernünftigen Menschen.</w:t>
      </w:r>
    </w:p>
    <w:p>
      <w:pPr>
        <w:pStyle w:val="Flietext1"/>
        <w:keepNext w:val="false"/>
        <w:keepLines w:val="false"/>
        <w:widowControl w:val="false"/>
        <w:shd w:val="clear" w:color="auto" w:fill="auto"/>
        <w:bidi w:val="0"/>
        <w:spacing w:before="0" w:after="280"/>
        <w:ind w:left="0" w:right="0" w:firstLine="240"/>
        <w:jc w:val="left"/>
        <w:rPr/>
      </w:pPr>
      <w:r>
        <w:rPr>
          <w:color w:val="000000"/>
          <w:spacing w:val="0"/>
          <w:w w:val="100"/>
          <w:shd w:fill="auto" w:val="clear"/>
          <w:lang w:val="en-US" w:eastAsia="en-US" w:bidi="en-US"/>
        </w:rPr>
        <w:t>So definiert Hobbes seinen Begriff des Naturrechts:</w:t>
      </w:r>
    </w:p>
    <w:p>
      <w:pPr>
        <w:pStyle w:val="Flietext1"/>
        <w:keepNext w:val="false"/>
        <w:keepLines w:val="false"/>
        <w:widowControl w:val="false"/>
        <w:shd w:val="clear" w:color="auto" w:fill="auto"/>
        <w:bidi w:val="0"/>
        <w:spacing w:lineRule="auto" w:line="252" w:before="0" w:after="280"/>
        <w:ind w:left="240" w:right="0" w:firstLine="380"/>
        <w:jc w:val="both"/>
        <w:rPr/>
      </w:pPr>
      <w:r>
        <w:rPr>
          <w:color w:val="000000"/>
          <w:spacing w:val="0"/>
          <w:w w:val="100"/>
          <w:shd w:fill="auto" w:val="clear"/>
          <w:vertAlign w:val="superscript"/>
          <w:lang w:val="en-US" w:eastAsia="en-US" w:bidi="en-US"/>
        </w:rPr>
        <w:t>Ein Naturgesetz (Lex Naturalis) ist eine Vorschrift oder allgemeine Regel, die von der Vernunft herausgefunden wurde, wodurch einem Menschen verboten wird, das zu tun, was sein Leben zerstört, oder ihm die Mittel nehmen, es zu erhalten; und das wegzulassen, von dem er glaubt, dass es am besten bewahrt werden kann.568</w:t>
      </w:r>
    </w:p>
    <w:p>
      <w:pPr>
        <w:pStyle w:val="Flietext1"/>
        <w:keepNext w:val="false"/>
        <w:keepLines w:val="false"/>
        <w:widowControl w:val="false"/>
        <w:shd w:val="clear" w:color="auto" w:fill="auto"/>
        <w:bidi w:val="0"/>
        <w:spacing w:before="0" w:after="260"/>
        <w:ind w:left="0" w:right="0" w:hanging="0"/>
        <w:jc w:val="both"/>
        <w:rPr/>
      </w:pPr>
      <w:r>
        <w:rPr>
          <w:color w:val="000000"/>
          <w:spacing w:val="0"/>
          <w:w w:val="100"/>
          <w:shd w:fill="auto" w:val="clear"/>
          <w:lang w:val="en-US" w:eastAsia="en-US" w:bidi="en-US"/>
        </w:rPr>
        <w:t>woraus er das „Grundgesetz der Natur“ ableitet (in gewisser Weise eigentlich das einzige Naturgesetz, da die anderen keine eigenständigen Prinzipien sind, sondern lediglich Ableitungen aus diesem Gesetz):</w:t>
      </w:r>
    </w:p>
    <w:p>
      <w:pPr>
        <w:pStyle w:val="Flietext1"/>
        <w:keepNext w:val="false"/>
        <w:keepLines w:val="false"/>
        <w:widowControl w:val="false"/>
        <w:shd w:val="clear" w:color="auto" w:fill="auto"/>
        <w:bidi w:val="0"/>
        <w:spacing w:lineRule="auto" w:line="252" w:before="0" w:after="260"/>
        <w:ind w:left="320" w:right="0" w:firstLine="300"/>
        <w:jc w:val="left"/>
        <w:rPr/>
      </w:pPr>
      <w:r>
        <w:rPr>
          <w:color w:val="000000"/>
          <w:spacing w:val="0"/>
          <w:w w:val="100"/>
          <w:shd w:fill="auto" w:val="clear"/>
          <w:vertAlign w:val="superscript"/>
          <w:lang w:val="en-US" w:eastAsia="en-US" w:bidi="en-US"/>
        </w:rPr>
        <w:t>Dass jeder nach Frieden streben sollte, soweit er Hoffnung hat, ihn zu erlangen; und wenn er es nicht erhalten kann, dass er alle Hilfen und Vorteile von Warre suchen und nutzen kann.43</w:t>
      </w:r>
    </w:p>
    <w:p>
      <w:pPr>
        <w:pStyle w:val="Flietext1"/>
        <w:keepNext w:val="false"/>
        <w:keepLines w:val="false"/>
        <w:widowControl w:val="false"/>
        <w:shd w:val="clear" w:color="auto" w:fill="auto"/>
        <w:bidi w:val="0"/>
        <w:spacing w:before="0" w:after="0"/>
        <w:ind w:left="0" w:right="0" w:hanging="0"/>
        <w:jc w:val="both"/>
        <w:rPr/>
      </w:pPr>
      <w:r>
        <w:rPr>
          <w:color w:val="000000"/>
          <w:spacing w:val="0"/>
          <w:w w:val="100"/>
          <w:shd w:fill="auto" w:val="clear"/>
          <w:lang w:val="en-US" w:eastAsia="en-US" w:bidi="en-US"/>
        </w:rPr>
        <w:t>Die starke Abhängigkeit von der Vernunftfähigkeit ist charakteristisch für die klassische Tradition des Naturrechts; Obwohl Hobbes die Vernunft auf eine instrumentelle Rolle reduziert hat, disqualifiziert dies sie nicht von solch bedeutenden Funktionen. Der so oft erwähnte Egoismus von Hobbes wird durch diesen Rationalismus scharf gemildert. Wo Hobbes sich von der Tradition unterscheidet, liegt in der höchst atypischen Überhöhung des Selbsterhaltungsprinzips. Es ist nicht schwer, der Logik dieser Neuerung auf die Spur zu kommen. Grotius, der in einer Zeit religiöser Kontroversen schrieb, hatte aus dem Naturrecht die einfache Stütze des offenbarten Willens Gottes entfernt und es durch einen natürlichen Instinkt der Geselligkeit als die treibende Kraft ersetzt, die die Menschen dazu brachte, die Prinzipien des Naturrechts zu akzeptieren. Hobbes geht noch einen Schritt weiter; angesichts seiner impliziten Ablehnung von allem, was auch nur entfernt der aristotelischen Prämisse ähnelt, und des Bewusstseins der künstlichen Natur der Gesellschaft, das so deutlich in der Einleitung zum Ausdruck kommt (in der er die Erfindung der Gesellschaft durch den Menschen mit Gottes Erschaffung des Menschen vergleicht)44, ist er gezwungen zu gehen einen Schritt weiter. Sein Ausgangspunkt für das Naturgesetz ist also keine solche angeborene Geselligkeit, sondern im Gegenteil nichts weiter als die minimale Annahme eines Selbsterhaltungstriebs. Dass Hobbes daraus noch ein Naturgesetz ableiten kann, das (wie für Grotius) wirklich eine Beschreibung der Voraussetzungen sozialer Ordnung ist, ist eine Demonstration seines Genies.</w:t>
      </w:r>
    </w:p>
    <w:p>
      <w:pPr>
        <w:pStyle w:val="Flietext1"/>
        <w:keepNext w:val="false"/>
        <w:keepLines w:val="false"/>
        <w:widowControl w:val="false"/>
        <w:shd w:val="clear" w:color="auto" w:fill="auto"/>
        <w:bidi w:val="0"/>
        <w:spacing w:before="0" w:after="260"/>
        <w:ind w:left="0" w:right="0" w:firstLine="320"/>
        <w:jc w:val="both"/>
        <w:rPr/>
      </w:pPr>
      <w:r>
        <w:rPr>
          <w:color w:val="000000"/>
          <w:spacing w:val="0"/>
          <w:w w:val="100"/>
          <w:shd w:fill="auto" w:val="clear"/>
          <w:lang w:val="en-US" w:eastAsia="en-US" w:bidi="en-US"/>
        </w:rPr>
        <w:t>Selbst die wenigen Bemerkungen, die Hobbes der traditionellen Behandlung näher zu bringen scheinen, sind irreführend. Die Erwähnung des Friedens im ersten Naturgesetz ist kein echtes Naturgesetz; der Zweck seiner Ableitung macht deutlich, dass er die Bevorzugung des Friedens nur aus dem äußerst groben Grund vorschlägt, dass im Kriegszustand Menschen getötet werden. Der Naturzustand des Menschen ist ein Kriegszustand, aber der Mensch kann und will diesen Naturzustand nicht, weil er einfach zu gefährlich ist. Das Grundgesetz stellt den Menschen als einen Wolf für die Menschen dar (um diese Verleumdung gegen Wölfe aufrechtzuerhalten), nicht als einen Vielfraß für den Menschen – der Wolf ist angeblich bereit, aus einem bestimmten Grund anzugreifen, während der Vielfraß um des Angriffs willen angreift. In ähnlicher Weise wird das Argument, dass Bündnisse im natürlichen Zustand der Menschheit bindend sind, schnell und einfach als mögliches orthodoxes Naturrechtskonzept entleert. Bündnisse sind bindend, weil eine gewisse Zusammenarbeit nicht nur möglich, sondern im natürlichen Zustand der Menschheit notwendig ist, da die Macht eines einzelnen Mannes so unzureichend ist45, und die Person, die als ein Brecher dieser Art von Bündnissen bekannt ist, wird sich der Vorteile eines solchen berauben Zusammenarbeit (obwohl unklar ist, wie man sich für irgendetwas im natürlichen Zustand der Menschheit einen Namen machen soll – hier ist der Naturzustand offensichtlich eher ein rein hypothetisches als ein historisches Mittel, das nur seine Zeitgenossen ohne den Monarchen bezeichnet). Die scheinbaren Abweichungen kehren alle zu seinem ersten Prinzip zurück – dem Primat der Selbsterhaltung.</w:t>
      </w:r>
    </w:p>
    <w:p>
      <w:pPr>
        <w:pStyle w:val="Flietext21"/>
        <w:keepNext w:val="false"/>
        <w:keepLines w:val="false"/>
        <w:widowControl w:val="false"/>
        <w:numPr>
          <w:ilvl w:val="0"/>
          <w:numId w:val="7"/>
        </w:numPr>
        <w:shd w:val="clear" w:color="auto" w:fill="auto"/>
        <w:tabs>
          <w:tab w:val="clear" w:pos="720"/>
          <w:tab w:val="left" w:pos="553" w:leader="none"/>
        </w:tabs>
        <w:bidi w:val="0"/>
        <w:spacing w:lineRule="auto" w:line="189" w:before="0" w:after="0"/>
        <w:ind w:left="0" w:right="0" w:firstLine="240"/>
        <w:jc w:val="both"/>
        <w:rPr/>
      </w:pPr>
      <w:r>
        <w:rPr>
          <w:color w:val="000000"/>
          <w:spacing w:val="0"/>
          <w:w w:val="100"/>
          <w:shd w:fill="auto" w:val="clear"/>
          <w:lang w:val="en-US" w:eastAsia="en-US" w:bidi="en-US"/>
        </w:rPr>
        <w:t>Hobbes, Leviathan, Teil I. Kapitel 14, S. 190</w:t>
      </w:r>
    </w:p>
    <w:p>
      <w:pPr>
        <w:pStyle w:val="Flietext21"/>
        <w:keepNext w:val="false"/>
        <w:keepLines w:val="false"/>
        <w:widowControl w:val="false"/>
        <w:numPr>
          <w:ilvl w:val="0"/>
          <w:numId w:val="7"/>
        </w:numPr>
        <w:shd w:val="clear" w:color="auto" w:fill="auto"/>
        <w:tabs>
          <w:tab w:val="clear" w:pos="720"/>
          <w:tab w:val="left" w:pos="553" w:leader="none"/>
        </w:tabs>
        <w:bidi w:val="0"/>
        <w:spacing w:lineRule="auto" w:line="189" w:before="0" w:after="220"/>
        <w:ind w:left="0" w:right="0" w:firstLine="240"/>
        <w:jc w:val="both"/>
        <w:rPr/>
      </w:pPr>
      <w:r>
        <w:rPr>
          <w:color w:val="000000"/>
          <w:spacing w:val="0"/>
          <w:w w:val="100"/>
          <w:shd w:fill="auto" w:val="clear"/>
          <w:lang w:val="en-US" w:eastAsia="en-US" w:bidi="en-US"/>
        </w:rPr>
        <w:t>Hobbes, Leviathan, Einführung, S. 81-2</w:t>
      </w:r>
    </w:p>
    <w:p>
      <w:pPr>
        <w:pStyle w:val="Flietext1"/>
        <w:keepNext w:val="false"/>
        <w:keepLines w:val="false"/>
        <w:widowControl w:val="false"/>
        <w:shd w:val="clear" w:color="auto" w:fill="auto"/>
        <w:bidi w:val="0"/>
        <w:spacing w:before="0" w:after="260"/>
        <w:ind w:left="0" w:right="0" w:firstLine="280"/>
        <w:jc w:val="both"/>
        <w:rPr/>
      </w:pPr>
      <w:r>
        <w:rPr>
          <w:color w:val="000000"/>
          <w:spacing w:val="0"/>
          <w:w w:val="100"/>
          <w:shd w:fill="auto" w:val="clear"/>
          <w:lang w:val="en-US" w:eastAsia="en-US" w:bidi="en-US"/>
        </w:rPr>
        <w:t>Das Ergebnis einer solchen Behandlung besteht darin, dem so abgeleiteten Naturgesetz die meisten seiner moralischen Untertöne zu rauben; wie Hill sagt, sind die Naturgesetze für Hobbes „Grundsätze oder allgemeine Regeln, die durch das Wissen um die Konsequenzen herausgefunden werden“, wie die Regeln der Buchführung; kann seine Bücher nicht ausgleichen, weniger unmoralisch als inkompetent. Man könnte dem Hobbesschen System natürlich einen ideellen Aspekt vorschlagen, indem er beschreibt, wie ein vernünftiger Mensch handeln sollte, anstatt wie alle Menschen handeln, aber was er fordert, ist die unmittelbare und logische Schlussfolgerung aus selbstverständlichen Prämissen, und zuweilen zeigt sich die Verzweiflung in der Stumpfheit derer, die das Wesentliche verfehlen und zivile Unruhen schüren.47 Wie er selbst sagt, „besteht die Fähigkeit, Commonwealths zu schaffen und zu erhalten, in bestimmten Regeln, ebenso wie Arithmetik und Geometrie ; not (as Tennis-play) on Practice onely.“48 Der Bezug zur Geometrie ist am bedeutsamsten.</w:t>
      </w:r>
    </w:p>
    <w:p>
      <w:pPr>
        <w:pStyle w:val="Flietext21"/>
        <w:keepNext w:val="false"/>
        <w:keepLines w:val="false"/>
        <w:widowControl w:val="false"/>
        <w:numPr>
          <w:ilvl w:val="0"/>
          <w:numId w:val="7"/>
        </w:numPr>
        <w:shd w:val="clear" w:color="auto" w:fill="auto"/>
        <w:tabs>
          <w:tab w:val="clear" w:pos="720"/>
          <w:tab w:val="left" w:pos="593" w:leader="none"/>
        </w:tabs>
        <w:bidi w:val="0"/>
        <w:spacing w:lineRule="auto" w:line="189" w:before="0" w:after="0"/>
        <w:ind w:left="0" w:right="0" w:firstLine="280"/>
        <w:jc w:val="both"/>
        <w:rPr/>
      </w:pPr>
      <w:r>
        <w:rPr>
          <w:color w:val="000000"/>
          <w:spacing w:val="0"/>
          <w:w w:val="100"/>
          <w:shd w:fill="auto" w:val="clear"/>
          <w:lang w:val="en-US" w:eastAsia="en-US" w:bidi="en-US"/>
        </w:rPr>
        <w:t>Hobbes Leviathan, Teil I. Kap. 15, S.204</w:t>
      </w:r>
    </w:p>
    <w:p>
      <w:pPr>
        <w:pStyle w:val="Flietext21"/>
        <w:keepNext w:val="false"/>
        <w:keepLines w:val="false"/>
        <w:widowControl w:val="false"/>
        <w:numPr>
          <w:ilvl w:val="0"/>
          <w:numId w:val="7"/>
        </w:numPr>
        <w:shd w:val="clear" w:color="auto" w:fill="auto"/>
        <w:tabs>
          <w:tab w:val="clear" w:pos="720"/>
          <w:tab w:val="left" w:pos="543" w:leader="none"/>
        </w:tabs>
        <w:bidi w:val="0"/>
        <w:spacing w:lineRule="auto" w:line="213" w:before="0" w:after="220"/>
        <w:ind w:left="0" w:right="0" w:firstLine="280"/>
        <w:jc w:val="both"/>
        <w:rPr/>
      </w:pPr>
      <w:r>
        <w:rPr>
          <w:color w:val="000000"/>
          <w:spacing w:val="0"/>
          <w:w w:val="100"/>
          <w:shd w:fill="auto" w:val="clear"/>
          <w:lang w:val="en-US" w:eastAsia="en-US" w:bidi="en-US"/>
        </w:rPr>
        <w:t>Christopher Hill, Puritanism and Revolution: The English Revolution of the Seventeenth Century (New York: Shocken Books, 1964), S. 290</w:t>
      </w:r>
    </w:p>
    <w:p>
      <w:pPr>
        <w:pStyle w:val="Flietext1"/>
        <w:keepNext w:val="false"/>
        <w:keepLines w:val="false"/>
        <w:widowControl w:val="false"/>
        <w:shd w:val="clear" w:color="auto" w:fill="auto"/>
        <w:bidi w:val="0"/>
        <w:spacing w:before="0" w:after="260"/>
        <w:ind w:left="0" w:right="0" w:firstLine="280"/>
        <w:jc w:val="both"/>
        <w:rPr/>
      </w:pPr>
      <w:r>
        <w:rPr>
          <w:color w:val="000000"/>
          <w:spacing w:val="0"/>
          <w:w w:val="100"/>
          <w:shd w:fill="auto" w:val="clear"/>
          <w:lang w:val="en-US" w:eastAsia="en-US" w:bidi="en-US"/>
        </w:rPr>
        <w:t>Aber das Naturgesetz ist nur ein Teil seiner Lösung des Problems, das der natürliche Zustand der Menschheit aufwirft; der andere Teil ist der Gesellschaftsvertrag. Die beiden lassen sich nicht ohne Weiteres trennen, geschweige denn als potenziell widersprüchlich gegenüberstellen, denn das zweite Naturgesetz ist der Vertrag. Das zweite Gesetz, das ausdrücklich als vom Grundgesetz abgeleitet bezeichnet wird, erfordert:</w:t>
      </w:r>
    </w:p>
    <w:p>
      <w:pPr>
        <w:pStyle w:val="Flietext1"/>
        <w:keepNext w:val="false"/>
        <w:keepLines w:val="false"/>
        <w:widowControl w:val="false"/>
        <w:shd w:val="clear" w:color="auto" w:fill="auto"/>
        <w:bidi w:val="0"/>
        <w:spacing w:before="0" w:after="260"/>
        <w:ind w:left="240" w:right="0" w:firstLine="380"/>
        <w:jc w:val="left"/>
        <w:rPr/>
      </w:pPr>
      <w:r>
        <w:rPr>
          <w:color w:val="000000"/>
          <w:spacing w:val="0"/>
          <w:w w:val="100"/>
          <w:shd w:fill="auto" w:val="clear"/>
          <w:vertAlign w:val="superscript"/>
          <w:lang w:val="en-US" w:eastAsia="en-US" w:bidi="en-US"/>
        </w:rPr>
        <w:t>Dass ein Mann bereit ist, wenn andere es auch sind, so weit her, wie für den Frieden, und sich selbst verteidigt, soll er es für notwendig halten, dieses Recht auf alle Dinge niederzulegen; und mit so viel Freiheit gegenüber anderen Menschen zufrieden sein, wie er anderen Menschen gegenüber sich selbst zugestehen würde e.49</w:t>
      </w:r>
    </w:p>
    <w:p>
      <w:pPr>
        <w:pStyle w:val="Flietext1"/>
        <w:keepNext w:val="false"/>
        <w:keepLines w:val="false"/>
        <w:widowControl w:val="false"/>
        <w:shd w:val="clear" w:color="auto" w:fill="auto"/>
        <w:bidi w:val="0"/>
        <w:spacing w:before="0" w:after="260"/>
        <w:ind w:left="0" w:right="0" w:hanging="0"/>
        <w:jc w:val="both"/>
        <w:rPr/>
      </w:pPr>
      <w:r>
        <w:rPr>
          <w:color w:val="000000"/>
          <w:spacing w:val="0"/>
          <w:w w:val="100"/>
          <w:shd w:fill="auto" w:val="clear"/>
          <w:lang w:val="en-US" w:eastAsia="en-US" w:bidi="en-US"/>
        </w:rPr>
        <w:t>(Diese unpersönliche Machtübergabe nimmt in I 17 eine andere Form an, aber die Unterschiede sind für die gegenwärtigen Zwecke nicht wichtig und werden später herausgearbeitet.) Offensichtlich ist der so beschriebene Gegensatz zu sehr ein zeitloses und rationales Konstrukt, um interpretiert zu werden irgendein historischer Weg. Obwohl die „ursprüngliche“ Versammlung und der „ursprüngliche“ Vertrag nie wirklich stattgefunden haben, liegt die Funktion und Rechtfertigung der Regierung in ihrer Fähigkeit, durch ein Monopol legitimer Zwangsgewalt die Menschen daran zu hindern, in den Naturzustand der Menschheit „zurückzukehren“; Da die Verhinderung dieser „Rückkehr“ eine Aktivität ist, bei der alle Menschen übereinstimmen müssen, wenn sie sich vernünftig verhalten sollen, kann man sagen, dass die Beziehung eine vertragliche oder bündliche ist. Zwischen Mensch und Anarchie steht nur der Staat, und je größer seine Macht, desto sicherer die Garantie des Menschen gegen Rückschritt. Der Hobbes'sche Vertrag ist ein „Als-ob-Vertrag; wir sind logischerweise verpflichtet, so zu handeln, „als ob“ der Vertrag historische Realität wäre, denn Zivilgesellschaft und die damit einhergehende erhöhte Sicherheit sind nur möglich, wenn ein solcher Vertrag angenommen wird. Geschichte ist nichts, Logik ist alles, um den Vertrag zu bestimmen.</w:t>
      </w:r>
    </w:p>
    <w:p>
      <w:pPr>
        <w:pStyle w:val="Flietext21"/>
        <w:keepNext w:val="false"/>
        <w:keepLines w:val="false"/>
        <w:widowControl w:val="false"/>
        <w:numPr>
          <w:ilvl w:val="0"/>
          <w:numId w:val="7"/>
        </w:numPr>
        <w:shd w:val="clear" w:color="auto" w:fill="auto"/>
        <w:tabs>
          <w:tab w:val="clear" w:pos="720"/>
          <w:tab w:val="left" w:pos="548" w:leader="none"/>
        </w:tabs>
        <w:bidi w:val="0"/>
        <w:spacing w:lineRule="auto" w:line="240" w:before="0" w:after="0"/>
        <w:ind w:left="0" w:right="0" w:firstLine="240"/>
        <w:jc w:val="both"/>
        <w:rPr/>
      </w:pPr>
      <w:r>
        <w:rPr>
          <w:color w:val="000000"/>
          <w:spacing w:val="0"/>
          <w:w w:val="100"/>
          <w:shd w:fill="auto" w:val="clear"/>
          <w:lang w:val="en-US" w:eastAsia="en-US" w:bidi="en-US"/>
        </w:rPr>
        <w:t>die Passage, die ich im Sinn habe, lautet: „Und ich weiß nicht, wie diese so offensichtliche Wahrheit in letzter Zeit so sein sollte</w:t>
      </w:r>
    </w:p>
    <w:p>
      <w:pPr>
        <w:pStyle w:val="Flietext21"/>
        <w:keepNext w:val="false"/>
        <w:keepLines w:val="false"/>
        <w:widowControl w:val="false"/>
        <w:shd w:val="clear" w:color="auto" w:fill="auto"/>
        <w:tabs>
          <w:tab w:val="clear" w:pos="720"/>
          <w:tab w:val="left" w:pos="1488" w:leader="dot"/>
        </w:tabs>
        <w:bidi w:val="0"/>
        <w:spacing w:lineRule="auto" w:line="240" w:before="0" w:after="0"/>
        <w:ind w:left="0" w:right="0" w:hanging="0"/>
        <w:jc w:val="left"/>
        <w:rPr/>
      </w:pPr>
      <w:r>
        <w:rPr>
          <w:color w:val="000000"/>
          <w:spacing w:val="0"/>
          <w:w w:val="100"/>
          <w:shd w:fill="auto" w:val="clear"/>
          <w:lang w:val="en-US" w:eastAsia="en-US" w:bidi="en-US"/>
        </w:rPr>
        <w:t>wenig beobachtet “; Hobbes, Leviathan, Teil II, Kapitel 19, S. 421</w:t>
      </w:r>
    </w:p>
    <w:p>
      <w:pPr>
        <w:pStyle w:val="Flietext21"/>
        <w:keepNext w:val="false"/>
        <w:keepLines w:val="false"/>
        <w:widowControl w:val="false"/>
        <w:numPr>
          <w:ilvl w:val="0"/>
          <w:numId w:val="7"/>
        </w:numPr>
        <w:shd w:val="clear" w:color="auto" w:fill="auto"/>
        <w:tabs>
          <w:tab w:val="clear" w:pos="720"/>
          <w:tab w:val="left" w:pos="553" w:leader="none"/>
        </w:tabs>
        <w:bidi w:val="0"/>
        <w:spacing w:lineRule="auto" w:line="220" w:before="0" w:after="0"/>
        <w:ind w:left="0" w:right="0" w:firstLine="240"/>
        <w:jc w:val="left"/>
        <w:rPr/>
      </w:pPr>
      <w:r>
        <w:rPr>
          <w:color w:val="000000"/>
          <w:spacing w:val="0"/>
          <w:w w:val="100"/>
          <w:shd w:fill="auto" w:val="clear"/>
          <w:lang w:val="en-US" w:eastAsia="en-US" w:bidi="en-US"/>
        </w:rPr>
        <w:t>Hobbes, Leviathan, Teil II, Kapitel 20, S. 261</w:t>
      </w:r>
    </w:p>
    <w:p>
      <w:pPr>
        <w:pStyle w:val="Flietext21"/>
        <w:keepNext w:val="false"/>
        <w:keepLines w:val="false"/>
        <w:widowControl w:val="false"/>
        <w:numPr>
          <w:ilvl w:val="0"/>
          <w:numId w:val="7"/>
        </w:numPr>
        <w:shd w:val="clear" w:color="auto" w:fill="auto"/>
        <w:tabs>
          <w:tab w:val="clear" w:pos="720"/>
          <w:tab w:val="left" w:pos="553" w:leader="none"/>
        </w:tabs>
        <w:bidi w:val="0"/>
        <w:spacing w:before="0" w:after="200"/>
        <w:ind w:left="0" w:right="0" w:firstLine="240"/>
        <w:jc w:val="left"/>
        <w:rPr/>
      </w:pPr>
      <w:r>
        <w:rPr>
          <w:color w:val="000000"/>
          <w:spacing w:val="0"/>
          <w:w w:val="100"/>
          <w:shd w:fill="auto" w:val="clear"/>
          <w:lang w:val="en-US" w:eastAsia="en-US" w:bidi="en-US"/>
        </w:rPr>
        <w:t>Hobbes, Leviathan, Teil I, Kapitel 14, S. 190</w:t>
      </w:r>
    </w:p>
    <w:p>
      <w:pPr>
        <w:pStyle w:val="Flietext1"/>
        <w:keepNext w:val="false"/>
        <w:keepLines w:val="false"/>
        <w:widowControl w:val="false"/>
        <w:shd w:val="clear" w:color="auto" w:fill="auto"/>
        <w:bidi w:val="0"/>
        <w:spacing w:lineRule="auto" w:line="259" w:before="0" w:after="0"/>
        <w:ind w:left="0" w:right="0" w:firstLine="280"/>
        <w:jc w:val="both"/>
        <w:rPr/>
      </w:pPr>
      <w:r>
        <w:rPr>
          <w:color w:val="000000"/>
          <w:spacing w:val="0"/>
          <w:w w:val="100"/>
          <w:shd w:fill="auto" w:val="clear"/>
          <w:lang w:val="en-US" w:eastAsia="en-US" w:bidi="en-US"/>
        </w:rPr>
        <w:t>Sowohl das Naturrechtsargument als auch der Vertragsmodus modifizieren den Egoismus von Hobbes erheblich. Wenn die Vernunft als Dienerin dieser dominanten Begierde, der Todesangst, fungiert, dann reduziert sich der Egoismus des Individuums an allen wichtigen Stellen nicht auf Erwerbssucht, sondern immer auf das Streben nach Selbsterhaltung, das alle Menschen haben gemeinsam. Gleichzeitig verändert der Vertragsmodus die Frage von der Bewertung wahrscheinlicher Folgen bestimmter Handlungen (es ist der Fehler von Flathman, diese Wirkung des Vertragsgeräts zu übersehen) zu der anderen Frage, ob eine Handlung gegen das Prinzip verstößt allein die Gesellschaft ruht, insofern ist die Wahrscheinlichkeit einer Bestrafung unerheblich. Die Auswirkungen dieser allgemeinen Punkte werden später untersucht; Erstens, da der Vertragsmodus seltsam zu den üblichen Bildern von Hobbes passt, wird es notwendig sein, einige offensichtliche Ungereimtheiten aufzuspüren. Um die Behauptung zu rechtfertigen, dass Hobbes die politische Verpflichtung in einem rationalistischen Gesellschaftsvertrag begründet, wird es notwendig sein, innezuhalten und die Hobbessche Ethik im Allgemeinen zu untersuchen, um zu sehen, welche Bedeutung eine solche „Verpflichtung“ für ihn haben könnte.</w:t>
      </w:r>
    </w:p>
    <w:p>
      <w:pPr>
        <w:pStyle w:val="Flietext1"/>
        <w:keepNext w:val="false"/>
        <w:keepLines w:val="false"/>
        <w:widowControl w:val="false"/>
        <w:shd w:val="clear" w:color="auto" w:fill="auto"/>
        <w:bidi w:val="0"/>
        <w:spacing w:before="0" w:after="260"/>
        <w:ind w:left="0" w:right="0" w:firstLine="300"/>
        <w:jc w:val="both"/>
        <w:rPr/>
      </w:pPr>
      <w:r>
        <w:rPr>
          <w:color w:val="000000"/>
          <w:spacing w:val="0"/>
          <w:w w:val="100"/>
          <w:shd w:fill="auto" w:val="clear"/>
          <w:lang w:val="en-US" w:eastAsia="en-US" w:bidi="en-US"/>
        </w:rPr>
        <w:t>Die Hobbes'sche Behandlung der Ethik ist geradlinig und treffend. Der natürliche Zustand der Menschheit ist nicht nur vorpolitisch und vorsozial, sondern auch vormoralisch – der natürliche Mensch ist nur appetitlich und rational, und in einem solchen Zustand kann es kein Gesetz, keine Moral, kein Richtig und Falsch geben außer die unterschiedlichen Zustimmungen und Ablehnungen von Menschen.50 Nur bei der Bildung des bürgerlichen Zustands kann diesen Begriffen eine konkrete und objektive Bedeutung gegeben werden, und diese Bedeutung wird vom Souverän zugewiesen. Eine solche Zuordnung ist im Wesentlichen willkürlich, aber wenn sie erst einmal feststeht, wird sie objektiv und damit nutzbar. Lange vor Ayer schlug Hobbes also ein „Yea!— Boo!“ vor. Theorie der Ethik und verfolgte sie bis zu ihren logischen politischen Schlussfolgerungen; die Macht des Staates ist nicht nur unbegrenzt, sondern auch moralisch unbedenklich.</w:t>
      </w:r>
    </w:p>
    <w:p>
      <w:pPr>
        <w:pStyle w:val="Flietext21"/>
        <w:keepNext w:val="false"/>
        <w:keepLines w:val="false"/>
        <w:widowControl w:val="false"/>
        <w:numPr>
          <w:ilvl w:val="0"/>
          <w:numId w:val="7"/>
        </w:numPr>
        <w:shd w:val="clear" w:color="auto" w:fill="auto"/>
        <w:tabs>
          <w:tab w:val="clear" w:pos="720"/>
          <w:tab w:val="left" w:pos="553" w:leader="none"/>
        </w:tabs>
        <w:bidi w:val="0"/>
        <w:spacing w:lineRule="auto" w:line="240" w:before="0" w:after="200"/>
        <w:ind w:left="0" w:right="0" w:firstLine="240"/>
        <w:jc w:val="left"/>
        <w:rPr/>
      </w:pPr>
      <w:r>
        <w:rPr>
          <w:color w:val="000000"/>
          <w:spacing w:val="0"/>
          <w:w w:val="100"/>
          <w:shd w:fill="auto" w:val="clear"/>
          <w:lang w:val="en-US" w:eastAsia="en-US" w:bidi="en-US"/>
        </w:rPr>
        <w:t>Hobbes, Leviathan, Teil IV, Kapitel 46, S. 697; vgl. Teil I, Kapitel 4, S. 109</w:t>
      </w:r>
    </w:p>
    <w:p>
      <w:pPr>
        <w:pStyle w:val="Flietext1"/>
        <w:keepNext w:val="false"/>
        <w:keepLines w:val="false"/>
        <w:widowControl w:val="false"/>
        <w:shd w:val="clear" w:color="auto" w:fill="auto"/>
        <w:bidi w:val="0"/>
        <w:spacing w:before="0" w:after="0"/>
        <w:ind w:left="0" w:right="0" w:firstLine="300"/>
        <w:jc w:val="both"/>
        <w:rPr/>
      </w:pPr>
      <w:r>
        <w:rPr>
          <w:color w:val="000000"/>
          <w:spacing w:val="0"/>
          <w:w w:val="100"/>
          <w:shd w:fill="auto" w:val="clear"/>
          <w:lang w:val="en-US" w:eastAsia="en-US" w:bidi="en-US"/>
        </w:rPr>
        <w:t>(Die Ausnahme von diesem Nominalismus ist der Begriff der Gerechtigkeit: Ungerechtigkeit ist die Verletzung gültiger Vereinbarungen568 und Gerechtigkeit ist alles andere. Der Souverän schafft Moral, aber er stellt lediglich die Bedingungen bereit, die Gerechtigkeit ermöglichen. Also, obwohl man das dort beides sagen kann keine Ungerechtigkeit im natürlichen Zustand der Menschheit ist und dass es keine objektive Moral im natürlichen Zustand der Menschheit gibt, ist die Bedeutung der beiden Aussagen ziemlich unterschiedlich.)</w:t>
      </w:r>
    </w:p>
    <w:p>
      <w:pPr>
        <w:pStyle w:val="Flietext1"/>
        <w:keepNext w:val="false"/>
        <w:keepLines w:val="false"/>
        <w:widowControl w:val="false"/>
        <w:shd w:val="clear" w:color="auto" w:fill="auto"/>
        <w:bidi w:val="0"/>
        <w:spacing w:before="0" w:after="0"/>
        <w:ind w:left="0" w:right="0" w:firstLine="300"/>
        <w:jc w:val="both"/>
        <w:rPr/>
      </w:pPr>
      <w:r>
        <w:rPr>
          <w:color w:val="000000"/>
          <w:spacing w:val="0"/>
          <w:w w:val="100"/>
          <w:shd w:fill="auto" w:val="clear"/>
          <w:vertAlign w:val="superscript"/>
          <w:lang w:val="en-US" w:eastAsia="en-US" w:bidi="en-US"/>
        </w:rPr>
        <w:t>Es scheint Raum für ein Argument zu geben, das darauf hindeutet, dass Hobbes die Moral im Namen der Klugheit zerstört hat. Dies ist sicherlich die populäre Ansicht von Hobbes, der seine Position als eine betrachtet, in der der Souverän Einwände (moralischer oder sonstiger Art) abschneidet, indem er den Einwänder auf den Kopf schlägt. Dennoch scheint es keine angemessene Darstellung seiner Ansichten zu sein; wie Macpherson sagt, sah Hobbes selbst seine Theorie als „eher eine moralische als nur eine umsichtige Theorie der Verpflichtung“568. es ist diese Unterscheidung, die Leviathan, und nicht De Cive, zu Hobbes' abschließendem Werk über Politik macht (obwohl eine natürliche Verpflichtung entsteht, wenn er das „Königreich Gottes von Natur aus“ diskutiert).51 52 569</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Genauer gesagt ist die Hobbes'sche Analyse der Politik so, dass sie eine notwendige Verbindung zwischen Moral und Klugheit beinhaltet, so dass sich beide gegenseitig verstärken. Der natürliche Zustand der Menschheit ist in einem wichtigen Sinne ein Zustand ohne Moral, alle Handlungen des Individuums müssen letzten Endes von den Erfordernissen des Überlebens geleitet werden, da alles andere gegen das erste Naturgesetz verstoßen würde. Ohne den Souverän sind ein moralisches Leben und ein soziales Leben gleichermaßen unmöglich, und sogar das Leben selbst ist unsicher; sein willkürliches Urteil liefert den einzig möglichen objektiven Maßstab für Moral. Klugheit weist auf Gehorsam als Mittel zur Vermeidung von Bestrafung und, was noch wichtiger ist, als Mittel zur Vermeidung einer Rückkehr zum natürlichen Zustand der Menschheit hin; Gehorsam gegenüber den Naturgesetzen, wenn man solche als Moral bezeichnet, weist auf Gehorsam hin, weil die Zivilgesellschaft dem physischen Überleben förderlicher ist; Moral weist auf Gehorsam hin, weil sie von derselben Autorität definiert wird, die Gehorsam fordert. Das Problem eines Konflikts zwischen Moral und Gehorsam, zwischen Verpflichtung und Klugheit, wird per Definition ausgemerzt – Moral wird nicht durch Klugheit definiert, wie die vereinfachende Ansicht von Hobbes es tun würde, sondern beide werden durch Klugheit definiert der Souverän, der wiederum die einzige Alternative zum Naturzustand der Menschheit ist, und eine Rückkehr zum Naturzustand der Menschheit kann keine moralische Option sein. (Der hobbesianische Bürger, der sagt: „Überhaupt keine Regierung wäre besser als diese“, versteht wahrscheinlich nicht, wie „überhaupt keine Regierung“ aussehen würde.) Es ist nicht so, dass die Moral zerstört wird, sondern dass sie der Moral definitorisch untergeordnet wird denselben Kurs wie den der Klugheit, nicht auf die Klugheit als solche. Ein solches Argument erhebt die Politik zu einer Wissenschaft, indem es die Ethik eliminiert, es sei denn, es geht darum, die moralischen Äußerungen des Souveräns konsistent zu machen, und als nicht normative, rein historische Vergleichsstudie; grober Positivismus (von der Art, wie von Mises vorschlug, als er vorschlug, dass „das theoretische Problem, wie ,Falsch wird richtig, Unmoral zu Moral wird, einer historischen Studie unterzogen wird‘‘54, ist die einzig mögliche Position für die Studie Ethik im Hobbesschen Staat.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1"/>
        <w:keepNext w:val="false"/>
        <w:keepLines w:val="false"/>
        <w:widowControl w:val="false"/>
        <w:shd w:val="clear" w:color="auto" w:fill="auto"/>
        <w:bidi w:val="0"/>
        <w:spacing w:lineRule="auto" w:line="259" w:before="0" w:after="280"/>
        <w:ind w:left="0" w:right="0" w:firstLine="300"/>
        <w:jc w:val="both"/>
        <w:rPr/>
      </w:pPr>
      <w:r>
        <w:rPr>
          <w:color w:val="000000"/>
          <w:spacing w:val="0"/>
          <w:w w:val="100"/>
          <w:shd w:fill="auto" w:val="clear"/>
          <w:lang w:val="en-US" w:eastAsia="en-US" w:bidi="en-US"/>
        </w:rPr>
        <w:t>Die Taylor-Warrender-These55 stellt diese Interpretation teilweise in Frage, indem sie Hobbes als einen orthodoxen Naturrechtstheoretiker sieht. Wie Quention Skinner solchen Vorschlägen treffend widerspricht:</w:t>
      </w:r>
    </w:p>
    <w:p>
      <w:pPr>
        <w:pStyle w:val="Flietext1"/>
        <w:keepNext w:val="false"/>
        <w:keepLines w:val="false"/>
        <w:widowControl w:val="false"/>
        <w:shd w:val="clear" w:color="auto" w:fill="auto"/>
        <w:bidi w:val="0"/>
        <w:spacing w:lineRule="auto" w:line="252" w:before="0" w:after="280"/>
        <w:ind w:left="240" w:right="0" w:firstLine="380"/>
        <w:jc w:val="left"/>
        <w:rPr/>
      </w:pPr>
      <w:r>
        <w:rPr>
          <w:color w:val="000000"/>
          <w:spacing w:val="0"/>
          <w:w w:val="100"/>
          <w:shd w:fill="auto" w:val="clear"/>
          <w:vertAlign w:val="superscript"/>
          <w:lang w:val="en-US" w:eastAsia="en-US" w:bidi="en-US"/>
        </w:rPr>
        <w:t>„</w:t>
      </w:r>
      <w:r>
        <w:rPr>
          <w:color w:val="000000"/>
          <w:spacing w:val="0"/>
          <w:w w:val="100"/>
          <w:shd w:fill="auto" w:val="clear"/>
          <w:vertAlign w:val="superscript"/>
          <w:lang w:val="en-US" w:eastAsia="en-US" w:bidi="en-US"/>
        </w:rPr>
        <w:t>Wenn Hobbes beabsichtigte, die politische Verpflichtung auf die vorherige Verpflichtung zum Gehorsam gegenüber den Geboten Gottes zu begründen, dann folgt zunächst einmal, dass jeder Zeitgenosse – jeder Anhänger, jeder Gegner, jeder Sympathisant – alle gleichermaßen den Punkt seiner Theorie verfehlt hat. Außerdem haben sich alle (gewiss ein hervorragender Zufall) auf genau die gleiche Weise geirrt.56</w:t>
      </w:r>
    </w:p>
    <w:p>
      <w:pPr>
        <w:pStyle w:val="Flietext21"/>
        <w:keepNext w:val="false"/>
        <w:keepLines w:val="false"/>
        <w:widowControl w:val="false"/>
        <w:numPr>
          <w:ilvl w:val="0"/>
          <w:numId w:val="8"/>
        </w:numPr>
        <w:shd w:val="clear" w:color="auto" w:fill="auto"/>
        <w:tabs>
          <w:tab w:val="clear" w:pos="720"/>
          <w:tab w:val="left" w:pos="538" w:leader="none"/>
        </w:tabs>
        <w:bidi w:val="0"/>
        <w:spacing w:lineRule="auto" w:line="213" w:before="0" w:after="0"/>
        <w:ind w:left="0" w:right="0" w:firstLine="300"/>
        <w:jc w:val="both"/>
        <w:rPr/>
      </w:pPr>
      <w:r>
        <w:rPr>
          <w:color w:val="000000"/>
          <w:spacing w:val="0"/>
          <w:w w:val="100"/>
          <w:shd w:fill="auto" w:val="clear"/>
          <w:lang w:val="en-US" w:eastAsia="en-US" w:bidi="en-US"/>
        </w:rPr>
        <w:t>Richard von Mises, Positivism: A Study in Human Understanding (Cambridge;: Harvard University Press, 1951), p. 334</w:t>
      </w:r>
    </w:p>
    <w:p>
      <w:pPr>
        <w:pStyle w:val="Flietext21"/>
        <w:keepNext w:val="false"/>
        <w:keepLines w:val="false"/>
        <w:widowControl w:val="false"/>
        <w:numPr>
          <w:ilvl w:val="0"/>
          <w:numId w:val="8"/>
        </w:numPr>
        <w:shd w:val="clear" w:color="auto" w:fill="auto"/>
        <w:tabs>
          <w:tab w:val="clear" w:pos="720"/>
          <w:tab w:val="left" w:pos="529" w:leader="none"/>
        </w:tabs>
        <w:bidi w:val="0"/>
        <w:spacing w:lineRule="auto" w:line="216" w:before="0" w:after="200"/>
        <w:ind w:left="0" w:right="0" w:firstLine="300"/>
        <w:jc w:val="both"/>
        <w:rPr/>
      </w:pPr>
      <w:r>
        <w:rPr>
          <w:i/>
          <w:iCs/>
          <w:color w:val="000000"/>
          <w:spacing w:val="0"/>
          <w:w w:val="100"/>
          <w:shd w:fill="auto" w:val="clear"/>
          <w:lang w:val="en-US" w:eastAsia="en-US" w:bidi="en-US"/>
        </w:rPr>
        <w:t>A.E. Taylor, „The Ethical Doctrine of Hobbes“ in Philosophy Vol. 13 Nr. 52 (Oktober 1938); und Warrender, Die politische Philosophie von Hobbes</w:t>
      </w:r>
    </w:p>
    <w:p>
      <w:pPr>
        <w:pStyle w:val="Flietext1"/>
        <w:keepNext w:val="false"/>
        <w:keepLines w:val="false"/>
        <w:widowControl w:val="false"/>
        <w:shd w:val="clear" w:color="auto" w:fill="auto"/>
        <w:bidi w:val="0"/>
        <w:spacing w:before="0" w:after="0"/>
        <w:ind w:left="0" w:right="0" w:hanging="0"/>
        <w:jc w:val="both"/>
        <w:rPr/>
      </w:pPr>
      <w:r>
        <w:rPr>
          <w:color w:val="000000"/>
          <w:spacing w:val="0"/>
          <w:w w:val="100"/>
          <w:shd w:fill="auto" w:val="clear"/>
          <w:lang w:val="en-US" w:eastAsia="en-US" w:bidi="en-US"/>
        </w:rPr>
        <w:t>Selbst wenn man den Hobbesschen Vorschlag akzeptiert, dass Versprechen unter Bedingungen eines Mangels an gegenseitigem Vertrauen nicht bindend sein können, ist einer ihrer grundlegenden Punkte, dass der Bund, der den Souverän schafft, eine leere Formel wäre, wenn Bündnisse keinen verbindlichen Charakter vor diesem bestimmten Bund hätten auf einer naturrechtlichen Vorschrift göttlichen Ursprungs. Dies verfehlt vollständig die komplizierte Struktur, die Hobbes aufgestellt hat, und die integrale Rolle, die der Vertrag in dieser Struktur spielt, und es lohnt sich daher, deutlich zu machen, warum dieser Einwand nicht zwingend ist.</w:t>
      </w:r>
    </w:p>
    <w:p>
      <w:pPr>
        <w:pStyle w:val="Flietext1"/>
        <w:keepNext w:val="false"/>
        <w:keepLines w:val="false"/>
        <w:widowControl w:val="false"/>
        <w:shd w:val="clear" w:color="auto" w:fill="auto"/>
        <w:bidi w:val="0"/>
        <w:spacing w:before="0" w:after="280"/>
        <w:ind w:left="0" w:right="0" w:firstLine="300"/>
        <w:jc w:val="both"/>
        <w:rPr/>
      </w:pPr>
      <w:r>
        <w:rPr>
          <w:color w:val="000000"/>
          <w:spacing w:val="0"/>
          <w:w w:val="100"/>
          <w:shd w:fill="auto" w:val="clear"/>
          <w:lang w:val="en-US" w:eastAsia="en-US" w:bidi="en-US"/>
        </w:rPr>
        <w:t>Vor der Erschaffung des Leviathan sind Bündnisse nichts als leere Worte. Die eine Art von Versprechen, dasjenige, bei dem das eine jetzt und das andere in der Zukunft zu erfüllen ist, ist im natürlichen Zustand der Menschheit verbindlich, aber aus rein vorsichtigen Gründen, die mit dem Nutzen der Zusammenarbeit zu tun haben, nicht aus moralischen Gründen. Die zweite Art, die künftig von beiden Seiten zu erfüllen ist, ist nicht nur nicht bindend, sondern ihre Erfüllung verstößt gegen das erste Naturgesetz, denn das Fehlen einer gemeinsamen Macht über alle bedeutet, dass es keine geben kann Bedingung des gegenseitigen Vertrauens, und daher liefert sich derjenige, der zuerst handelt, lediglich in die Hände seines Feindes.57 Angesichts der Tatsache, dass Männer kooperieren müssen, ist die Unmöglichkeit, dies im Sinne der zweiten Art von Versprechen zu tun, mehr als eine geringfügige Unannehmlichkeit. Da der Bund, der den Souverän schafft, von diesem zweiten Typ ist, ist der Grund für die Verwirrung von Taylor-Warrender, die sie dazu bringt, für eine Antwort über das Hobbes'sche Schema hinauszugehen, klar, aber es ist völlig unnötig. Der Bund, der den Souverän schafft, ist einer zwischen jedem Menschen und jedem anderen Menschen, in dem alle ihre Rechte und Freiheiten an den Souverän abgeben, unter der Bedingung, dass alle anderen dies tun die Hände des Souveräns, schafft tatsächlich die gemeinsame Macht über alles, die die Bedingung für gegenseitiges Vertrauen schafft, indem sie die Erfüllung von Versprechen garantiert. Der Vertrag, der den Leviathan schafft, ist insofern einzigartig, als er gleichzeitig die Bedingungen schafft, die Verpflichtungen und Verträge sinnvoll machen; sie ist selbstbegründend und (mehr noch) selbstdurchsetzend und kann durchaus konsequent als Ausgangspunkt einer moralischen Ordnung angesehen werden. Die wenigen Schwierigkeiten innerhalb eines solchen Konstrukts verschwinden, wenn man bedenkt, dass der Vertrag nur ein logisches Instrument und keine Theorie der Geschichte ist; Er sagt nicht, was die ursprüngliche Generation politischer Macht verursacht hat, sondern was ihre Aufrechterhaltung jetzt rechtfertigen kann. Seine Argumentation richtet sich nicht gegen eingeborene Ureinwohner, sondern gegen Engländer des siebzehnten Jahrhunderts, und das Problem ist nicht, wie man Menschen aus dem natürlichen Zustand der Menschheit in die Zivilgesellschaft bringt (diese Errungenschaft ist eine historische „Gegebenheit“), sondern wie man Männer darin hält die Zivilgesellschaft davor bewahren, in diesen natürlichen Zustand der Menschheit zurückzufallen. Da es eine gemeinsame Macht über alles gibt, ist der Bund, der diese gemeinsame Macht schafft, bindend, und man kann Henne-und-Ei-Probleme beiseite lassen, was zuerst da war.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21"/>
        <w:keepNext w:val="false"/>
        <w:keepLines w:val="false"/>
        <w:widowControl w:val="false"/>
        <w:numPr>
          <w:ilvl w:val="0"/>
          <w:numId w:val="8"/>
        </w:numPr>
        <w:shd w:val="clear" w:color="auto" w:fill="auto"/>
        <w:tabs>
          <w:tab w:val="clear" w:pos="720"/>
          <w:tab w:val="left" w:pos="534" w:leader="none"/>
        </w:tabs>
        <w:bidi w:val="0"/>
        <w:spacing w:lineRule="auto" w:line="220" w:before="0" w:after="0"/>
        <w:ind w:left="0" w:right="0" w:firstLine="280"/>
        <w:jc w:val="both"/>
        <w:rPr/>
      </w:pPr>
      <w:r>
        <w:rPr>
          <w:color w:val="000000"/>
          <w:spacing w:val="0"/>
          <w:w w:val="100"/>
          <w:shd w:fill="auto" w:val="clear"/>
          <w:lang w:val="en-US" w:eastAsia="en-US" w:bidi="en-US"/>
        </w:rPr>
        <w:t>Quentin Skinner, „Hobbes' Theory of Political Obligation“, in Hobbes und Rousseau: Ä Collection of Critical Essays, hrsg. von Maurice Cranston und R.S. Peters (Garden City, NY: Doubleday, 1972).</w:t>
      </w:r>
    </w:p>
    <w:p>
      <w:pPr>
        <w:pStyle w:val="Flietext21"/>
        <w:keepNext w:val="false"/>
        <w:keepLines w:val="false"/>
        <w:widowControl w:val="false"/>
        <w:numPr>
          <w:ilvl w:val="0"/>
          <w:numId w:val="8"/>
        </w:numPr>
        <w:shd w:val="clear" w:color="auto" w:fill="auto"/>
        <w:tabs>
          <w:tab w:val="clear" w:pos="720"/>
          <w:tab w:val="left" w:pos="583" w:leader="none"/>
        </w:tabs>
        <w:bidi w:val="0"/>
        <w:spacing w:lineRule="auto" w:line="189" w:before="0" w:after="200"/>
        <w:ind w:left="0" w:right="0" w:firstLine="280"/>
        <w:jc w:val="both"/>
        <w:rPr/>
      </w:pPr>
      <w:r>
        <w:rPr>
          <w:color w:val="000000"/>
          <w:spacing w:val="0"/>
          <w:w w:val="100"/>
          <w:shd w:fill="auto" w:val="clear"/>
          <w:lang w:val="en-US" w:eastAsia="en-US" w:bidi="en-US"/>
        </w:rPr>
        <w:t>Hobbes, Leviathan, Teil I. Kap. 14, p. 196</w:t>
      </w:r>
    </w:p>
    <w:p>
      <w:pPr>
        <w:pStyle w:val="Flietext1"/>
        <w:keepNext w:val="false"/>
        <w:keepLines w:val="false"/>
        <w:widowControl w:val="false"/>
        <w:shd w:val="clear" w:color="auto" w:fill="auto"/>
        <w:bidi w:val="0"/>
        <w:spacing w:before="0" w:after="240"/>
        <w:ind w:left="0" w:right="0" w:firstLine="280"/>
        <w:jc w:val="both"/>
        <w:rPr/>
      </w:pPr>
      <w:r>
        <w:rPr>
          <w:color w:val="000000"/>
          <w:spacing w:val="0"/>
          <w:w w:val="100"/>
          <w:shd w:fill="auto" w:val="clear"/>
          <w:lang w:val="en-US" w:eastAsia="en-US" w:bidi="en-US"/>
        </w:rPr>
        <w:t>Das Vertragsargument von Hobbes ist konsequent und wichtig, aber es ist nur als Ergänzung zum naturrechtlichen Argument wichtig und überschattet es nicht. Der springende Punkt des zweiten Naturgesetzes, das den Zivilvertrag erfordert, ist, dass es eine strenge Ableitung vom ersten (Erhaltung des Lebens) Prinzips ist. Die richtige Reihenfolge ist nicht „Naturrecht – Vertrag – Verpflichtung“, sondern „Naturrecht (einschließlich Gesellschaftsvertrag) – Verpflichtung“. Man ist nicht nur verpflichtet, weil man eingewilligt hat, sondern auch das Naturrecht verpflichtet zur Einwilligung; kann das Gebot des Naturrechts eindeutig als Einwilligungserfordernis nachgewiesen werden (in Form strenger rationaler Ableitungen aus dem Selbsterhaltungsprinzip), dann muss ein tatsächlicher Einwilligungsakt nicht angezeigt oder dokumentiert werden, um die angenommene Einwilligung zu validieren. Dieser Schritt, die Essenz des unterstellten Vertrags, ist zentral für Hobbes' Position; ein solcher Vertrag ist ein Mittel, keine Theorie; ein Übergangsverfahren, keine bestimmende Prämisse. Bei aller radikalen Neudefinition des Naturrechts durch Hobbes, seiner Umformung in egoistische Begriffe, gibt es einen Rest Wahrheit in jenen Interpretationen, die ihn weniger als Vertragspartei denn als Naturrechtsdenker zu bezeichnen scheinen. Dieser Punkt wird später entwickelt.</w:t>
      </w:r>
    </w:p>
    <w:p>
      <w:pPr>
        <w:pStyle w:val="Flietext21"/>
        <w:keepNext w:val="false"/>
        <w:keepLines w:val="false"/>
        <w:widowControl w:val="false"/>
        <w:numPr>
          <w:ilvl w:val="0"/>
          <w:numId w:val="8"/>
        </w:numPr>
        <w:shd w:val="clear" w:color="auto" w:fill="auto"/>
        <w:tabs>
          <w:tab w:val="clear" w:pos="720"/>
          <w:tab w:val="left" w:pos="553" w:leader="none"/>
        </w:tabs>
        <w:bidi w:val="0"/>
        <w:spacing w:lineRule="auto" w:line="240" w:before="0" w:after="200"/>
        <w:ind w:left="0" w:right="0" w:firstLine="240"/>
        <w:jc w:val="left"/>
        <w:rPr/>
      </w:pPr>
      <w:r>
        <w:rPr>
          <w:color w:val="000000"/>
          <w:spacing w:val="0"/>
          <w:w w:val="100"/>
          <w:shd w:fill="auto" w:val="clear"/>
          <w:lang w:val="en-US" w:eastAsia="en-US" w:bidi="en-US"/>
        </w:rPr>
        <w:t>Hobbes, Leviathan, Teil II, Kapitel 17, S. 227</w:t>
      </w:r>
    </w:p>
    <w:p>
      <w:pPr>
        <w:pStyle w:val="Flietext1"/>
        <w:keepNext w:val="false"/>
        <w:keepLines w:val="false"/>
        <w:widowControl w:val="false"/>
        <w:shd w:val="clear" w:color="auto" w:fill="auto"/>
        <w:bidi w:val="0"/>
        <w:spacing w:before="0" w:after="220"/>
        <w:ind w:left="0" w:right="0" w:firstLine="280"/>
        <w:jc w:val="both"/>
        <w:rPr/>
      </w:pPr>
      <w:r>
        <w:rPr>
          <w:color w:val="000000"/>
          <w:spacing w:val="0"/>
          <w:w w:val="100"/>
          <w:shd w:fill="auto" w:val="clear"/>
          <w:lang w:val="en-US" w:eastAsia="en-US" w:bidi="en-US"/>
        </w:rPr>
        <w:t>Als Ergebnis dieser Herangehensweise an den Vertragsmodus weist der Hobbes'sche Vertrag merkwürdige und ungewöhnliche Merkmale auf. Am wichtigsten ist vielleicht, dass der Vertrag nicht zwischen dem Souverän und dem Volk besteht, sondern zwischen jedem Bürger und jedem anderen Bürger; Dies ist ein wichtiger Unterschied, da er den Eingang zum Absolutismus darstellt. Der Souverän ist keine Vertragspartei, sondern nur Empfänger von Befugnissen im Rahmen des Vertrags. Wie Hobbes bei der Erörterung von Bestrafung sagt, sprechen wir nicht davon, dass Männer dem Souverän ein Recht auf Bestrafung einräumen; Vielmehr gibt jeder andere Mensch, der in die Zivilgesellschaft eintritt, sein vorheriges „Recht auf alles und alles zu tun, was er für seine eigene Erhaltung für notwendig hielt, jeden Menschen zu unterwerfen, zu verletzen oder zu töten, um dies zu tun“ auf, aber der Souverän tut dies nicht und macht dieses Recht zu bestrafen ein Recht, „das ihm und ihm allein nicht gegeben, sondern überlassen wird“.568 Der Souverän kann nicht Teil eines Vertrags mit dem Volk sein, weil es keine gemeinsame Macht über Souverän und Volk geben würde, um ein solches Versprechen gültig zu machen; dass Verträge und Bündnisse nur gültig sind, wenn es eine gemeinsame Macht über alles gibt, genau das Problem, das die Notwendigkeit des Souveräns geschaffen hat, verhindert effektiv, dass er Vertragspartei ist, ausdrücklich einschließlich des Zivilbündnisses selbst. Infolgedessen „kann seitens des Souveräns kein Bund gebrochen werden.“569 Dieselbe Logik verwirft die Idee der Rechtsstaatlichkeit; es ist eine „der Natur eines Commonwealth zuwiderlaufende Meinung“, dass „wer die souveräne Macht hat, den Zivilgesetzen unterworfen ist“. er regiert nicht innerhalb, sondern über der Zivilgesellschaft.62 Die meisten kontraktualen Theorien schränken die Macht der Regierung ein; Die Hobbes-Theorie schließt die Möglichkeit einer formellen Beschränkung des Souveräns aus.</w:t>
      </w:r>
    </w:p>
    <w:p>
      <w:pPr>
        <w:pStyle w:val="Flietext1"/>
        <w:keepNext w:val="false"/>
        <w:keepLines w:val="false"/>
        <w:widowControl w:val="false"/>
        <w:shd w:val="clear" w:color="auto" w:fill="auto"/>
        <w:bidi w:val="0"/>
        <w:spacing w:before="0" w:after="260"/>
        <w:ind w:left="0" w:right="0" w:firstLine="260"/>
        <w:jc w:val="both"/>
        <w:rPr/>
      </w:pPr>
      <w:r>
        <w:rPr>
          <w:color w:val="000000"/>
          <w:spacing w:val="0"/>
          <w:w w:val="100"/>
          <w:shd w:fill="auto" w:val="clear"/>
          <w:lang w:val="en-US" w:eastAsia="en-US" w:bidi="en-US"/>
        </w:rPr>
        <w:t>(Man kann nicht sagen, dass diese Schlussfolgerung der formell unbegrenzten Macht des Souveräns vollständig mit Hobbes eigenen Prämissen übereinstimmt. Das zweite Naturgesetz verlangt, dass „ein Mensch bereit ist, sich hinzulegen, wenn andere es auch sind dieses Recht auf alle Dinge, und begnüge dich mit so viel Freiheit gegenüber anderen Menschen, wie er anderen Menschen gegenüber sich selbst zugestehen würde.“63 Aber der springende Punkt eines Hobbesschen Naturgesetzes ist, dass es für alle Menschen gilt, und dies muss daher beinhalten der Souverän (Nicht der Souverän, sondern der Leviathan selbst wird als sterblicher Gott beschrieben.64) Wenn der Souverän über dem Vertrag steht, anstatt ein Teil davon zu sein, dann scheint dies eine Verletzung des Naturgesetzes zu sein , das nun (implizit) eher eine bedingte als eine kategorische Natur annimmt. Wenn das „zweite Naturgesetz“ ein Naturgesetz ist, dann bindet es alle Menschen, einschließlich des Souveräns. Wenn es den Souverän nicht bindet, dann es ist kein Naturgesetz und bindet andere nicht, wie „wenn andere Menschen wollen ihr Recht nicht so niederlegen wie er, dann gibt es für niemanden einen Grund, sich seines zu entledigen, denn damit würde man sich einer Beute aussetzen, zu der kein Mensch verpflichtet ist.“65 Hobbes selbst scheint sich des Problems – später66 – bewusst zu sein die unpersönliche Übergabe der Macht wird zur Autorisierung eines Mannes oder einer Versammlung von Männern – aber das umgeht das Problem nur, anstatt es zu lösen. Das Problem ist real; die unaufhaltsame Tendenz des Arguments, das für alle vernünftigen Menschen gilt, geht gerade auf das Rechtsstaatsprinzip und das Konzept einer begrenzten Monarchie ein, die er ausdrücklich ablehnt. Hobbes' Satire oder Revision des Naturrechts war weniger effektiv als er dachte, denn es scheint immer noch Implikationen einer begrenzten Herrschaft zu haben.)</w:t>
      </w:r>
    </w:p>
    <w:p>
      <w:pPr>
        <w:pStyle w:val="Flietext21"/>
        <w:keepNext w:val="false"/>
        <w:keepLines w:val="false"/>
        <w:widowControl w:val="false"/>
        <w:numPr>
          <w:ilvl w:val="0"/>
          <w:numId w:val="9"/>
        </w:numPr>
        <w:shd w:val="clear" w:color="auto" w:fill="auto"/>
        <w:tabs>
          <w:tab w:val="clear" w:pos="720"/>
          <w:tab w:val="left" w:pos="553" w:leader="none"/>
        </w:tabs>
        <w:bidi w:val="0"/>
        <w:spacing w:lineRule="auto" w:line="240" w:before="0" w:after="0"/>
        <w:ind w:left="0" w:right="0" w:firstLine="240"/>
        <w:jc w:val="left"/>
        <w:rPr/>
      </w:pPr>
      <w:r>
        <w:rPr>
          <w:color w:val="000000"/>
          <w:spacing w:val="0"/>
          <w:w w:val="100"/>
          <w:shd w:fill="auto" w:val="clear"/>
          <w:lang w:val="en-US" w:eastAsia="en-US" w:bidi="en-US"/>
        </w:rPr>
        <w:t>Hobbes, Leviathan, Teil II Kap.29</w:t>
      </w:r>
    </w:p>
    <w:p>
      <w:pPr>
        <w:pStyle w:val="Flietext21"/>
        <w:keepNext w:val="false"/>
        <w:keepLines w:val="false"/>
        <w:widowControl w:val="false"/>
        <w:numPr>
          <w:ilvl w:val="0"/>
          <w:numId w:val="9"/>
        </w:numPr>
        <w:shd w:val="clear" w:color="auto" w:fill="auto"/>
        <w:tabs>
          <w:tab w:val="clear" w:pos="720"/>
          <w:tab w:val="left" w:pos="553" w:leader="none"/>
        </w:tabs>
        <w:bidi w:val="0"/>
        <w:spacing w:before="0" w:after="0"/>
        <w:ind w:left="0" w:right="0" w:firstLine="240"/>
        <w:jc w:val="left"/>
        <w:rPr/>
      </w:pPr>
      <w:r>
        <w:rPr>
          <w:color w:val="000000"/>
          <w:spacing w:val="0"/>
          <w:w w:val="100"/>
          <w:shd w:fill="auto" w:val="clear"/>
          <w:lang w:val="en-US" w:eastAsia="en-US" w:bidi="en-US"/>
        </w:rPr>
        <w:t>Jacques Maritain, Man and the State (Chicago: University of Chicago Press, 1951), Kap.II</w:t>
      </w:r>
    </w:p>
    <w:p>
      <w:pPr>
        <w:pStyle w:val="Flietext21"/>
        <w:keepNext w:val="false"/>
        <w:keepLines w:val="false"/>
        <w:widowControl w:val="false"/>
        <w:numPr>
          <w:ilvl w:val="0"/>
          <w:numId w:val="9"/>
        </w:numPr>
        <w:shd w:val="clear" w:color="auto" w:fill="auto"/>
        <w:tabs>
          <w:tab w:val="clear" w:pos="720"/>
          <w:tab w:val="left" w:pos="553" w:leader="none"/>
        </w:tabs>
        <w:bidi w:val="0"/>
        <w:spacing w:lineRule="auto" w:line="220" w:before="0" w:after="0"/>
        <w:ind w:left="0" w:right="0" w:firstLine="240"/>
        <w:jc w:val="left"/>
        <w:rPr/>
      </w:pPr>
      <w:r>
        <w:rPr>
          <w:color w:val="000000"/>
          <w:spacing w:val="0"/>
          <w:w w:val="100"/>
          <w:shd w:fill="auto" w:val="clear"/>
          <w:lang w:val="en-US" w:eastAsia="en-US" w:bidi="en-US"/>
        </w:rPr>
        <w:t>Hobbes, Leviathan, Teil I. Kapitel 14, S. 190</w:t>
      </w:r>
    </w:p>
    <w:p>
      <w:pPr>
        <w:pStyle w:val="Flietext21"/>
        <w:keepNext w:val="false"/>
        <w:keepLines w:val="false"/>
        <w:widowControl w:val="false"/>
        <w:numPr>
          <w:ilvl w:val="0"/>
          <w:numId w:val="9"/>
        </w:numPr>
        <w:shd w:val="clear" w:color="auto" w:fill="auto"/>
        <w:tabs>
          <w:tab w:val="clear" w:pos="720"/>
          <w:tab w:val="left" w:pos="553" w:leader="none"/>
        </w:tabs>
        <w:bidi w:val="0"/>
        <w:spacing w:before="0" w:after="0"/>
        <w:ind w:left="0" w:right="0" w:firstLine="240"/>
        <w:jc w:val="left"/>
        <w:rPr/>
      </w:pPr>
      <w:r>
        <w:rPr>
          <w:color w:val="000000"/>
          <w:spacing w:val="0"/>
          <w:w w:val="100"/>
          <w:shd w:fill="auto" w:val="clear"/>
          <w:lang w:val="en-US" w:eastAsia="en-US" w:bidi="en-US"/>
        </w:rPr>
        <w:t>Hobbes, Leviathan, Teil II, Kapitel 17, S. 227</w:t>
      </w:r>
    </w:p>
    <w:p>
      <w:pPr>
        <w:pStyle w:val="Flietext21"/>
        <w:keepNext w:val="false"/>
        <w:keepLines w:val="false"/>
        <w:widowControl w:val="false"/>
        <w:numPr>
          <w:ilvl w:val="0"/>
          <w:numId w:val="9"/>
        </w:numPr>
        <w:shd w:val="clear" w:color="auto" w:fill="auto"/>
        <w:tabs>
          <w:tab w:val="clear" w:pos="720"/>
          <w:tab w:val="left" w:pos="553" w:leader="none"/>
        </w:tabs>
        <w:bidi w:val="0"/>
        <w:spacing w:lineRule="auto" w:line="220" w:before="0" w:after="0"/>
        <w:ind w:left="0" w:right="0" w:firstLine="240"/>
        <w:jc w:val="left"/>
        <w:rPr/>
      </w:pPr>
      <w:r>
        <w:rPr>
          <w:color w:val="000000"/>
          <w:spacing w:val="0"/>
          <w:w w:val="100"/>
          <w:shd w:fill="auto" w:val="clear"/>
          <w:lang w:val="en-US" w:eastAsia="en-US" w:bidi="en-US"/>
        </w:rPr>
        <w:t>Hobbes, Leviathan, Teil I, Kapitel 14, S. 190</w:t>
      </w:r>
    </w:p>
    <w:p>
      <w:pPr>
        <w:pStyle w:val="Flietext21"/>
        <w:keepNext w:val="false"/>
        <w:keepLines w:val="false"/>
        <w:widowControl w:val="false"/>
        <w:numPr>
          <w:ilvl w:val="0"/>
          <w:numId w:val="9"/>
        </w:numPr>
        <w:shd w:val="clear" w:color="auto" w:fill="auto"/>
        <w:tabs>
          <w:tab w:val="clear" w:pos="720"/>
          <w:tab w:val="left" w:pos="553" w:leader="none"/>
        </w:tabs>
        <w:bidi w:val="0"/>
        <w:spacing w:before="0" w:after="200"/>
        <w:ind w:left="0" w:right="0" w:firstLine="240"/>
        <w:jc w:val="left"/>
        <w:rPr/>
      </w:pPr>
      <w:r>
        <w:rPr>
          <w:color w:val="000000"/>
          <w:spacing w:val="0"/>
          <w:w w:val="100"/>
          <w:shd w:fill="auto" w:val="clear"/>
          <w:lang w:val="en-US" w:eastAsia="en-US" w:bidi="en-US"/>
        </w:rPr>
        <w:t>Hobbes, Leviathan, Teil II Kap.17</w:t>
      </w:r>
    </w:p>
    <w:p>
      <w:pPr>
        <w:pStyle w:val="Flietext1"/>
        <w:keepNext w:val="false"/>
        <w:keepLines w:val="false"/>
        <w:widowControl w:val="false"/>
        <w:shd w:val="clear" w:color="auto" w:fill="auto"/>
        <w:bidi w:val="0"/>
        <w:spacing w:lineRule="auto" w:line="252" w:before="0" w:after="0"/>
        <w:ind w:left="0" w:right="0" w:firstLine="260"/>
        <w:jc w:val="both"/>
        <w:rPr/>
      </w:pPr>
      <w:r>
        <w:rPr>
          <w:color w:val="000000"/>
          <w:spacing w:val="0"/>
          <w:w w:val="100"/>
          <w:shd w:fill="auto" w:val="clear"/>
          <w:vertAlign w:val="superscript"/>
          <w:lang w:val="en-US" w:eastAsia="en-US" w:bidi="en-US"/>
        </w:rPr>
        <w:t>Mabbott fasst die Situation prägnant zusammen, wenn er erklärt, dass „Hobbes' Sicht der Staatsfunktionen eine minimale Sichtweise ist, obwohl die Befugnisse, die er dem Souverän zuweist, um diese Funktionen zu erfüllen, maximale Befugnisse sein können.“67</w:t>
      </w:r>
    </w:p>
    <w:p>
      <w:pPr>
        <w:pStyle w:val="Flietext1"/>
        <w:keepNext w:val="false"/>
        <w:keepLines w:val="false"/>
        <w:widowControl w:val="false"/>
        <w:shd w:val="clear" w:color="auto" w:fill="auto"/>
        <w:bidi w:val="0"/>
        <w:spacing w:before="0" w:after="260"/>
        <w:ind w:left="0" w:right="0" w:firstLine="260"/>
        <w:jc w:val="both"/>
        <w:rPr/>
      </w:pPr>
      <w:r>
        <w:rPr>
          <w:color w:val="000000"/>
          <w:spacing w:val="0"/>
          <w:w w:val="100"/>
          <w:shd w:fill="auto" w:val="clear"/>
          <w:lang w:val="en-US" w:eastAsia="en-US" w:bidi="en-US"/>
        </w:rPr>
        <w:t>Doch dieser gegenteilige Anschein, selbst wenn wir zugeben, dass der Hobbes'sche Souverän über dem Vertrag steht und nicht Teil des Vertrags ist, ist der Souverän nicht absolut absolut. Es gibt einige Aktionen außerhalb seines Zuständigkeitsbereichs, und diese können unter zwei Überschriften abgeschlossen werden. Erstens muss der Souverän Frieden und Ordnung aufrechterhalten. Da ihm die Befugnis gegeben ist, die Schrecken des Naturzustands durch ein Mindestmaß an Sicherheit zu ersetzen, ist dies die einschränkende Klausel seiner ansonsten völlig willkürlichen Macht, und Hobbes widerspricht nicht, wenn er zu dem Schluss kommt, dass der Souverän „fair“ sein muss. , muss „gute“ Gesetze erlassen, darf „unschuldige“ Personen nicht bestrafen, denn diese Begriffe beziehen sich wiederum auf die Bereitstellung von Sicherheit. Im natürlichen Zustand der Menschheit hat das Individuum eine (buchstäbliche) Kampfchance, Leben und Eigentum zu verteidigen, da es nur Individuen gegenübersteht, die ähnlich isoliert und einsam sind; unter einem „schlechten“ oder „unfairen“ Souverän genießt er nur die zusätzliche Unsicherheit des erzwingenden Übergewichts des Souveräns. Dies ist jedoch nur eine Randbetrachtung; der Bund wird für das Individuum wirksam aufgelöst, wenn sein eigenes Leben bedroht ist (das Hobbessche erste Naturgesetz bezieht sich nur auf die Erhaltung des Lebens und kann daher gegen Gehorsam nur dann geltend gemacht werden, wenn Leben, nicht wie bei Locke Leben, Freiheit und Eigentum, bedroht ist), und die Möglichkeit einer Rückkehr zum natürlichen Zustand der Menschheit ist so abschreckend, dass Rebellion nur ein letzter und verzweifelter Ausweg sein kann.</w:t>
      </w:r>
    </w:p>
    <w:p>
      <w:pPr>
        <w:pStyle w:val="Flietext21"/>
        <w:keepNext w:val="false"/>
        <w:keepLines w:val="false"/>
        <w:widowControl w:val="false"/>
        <w:numPr>
          <w:ilvl w:val="0"/>
          <w:numId w:val="9"/>
        </w:numPr>
        <w:shd w:val="clear" w:color="auto" w:fill="auto"/>
        <w:tabs>
          <w:tab w:val="clear" w:pos="720"/>
          <w:tab w:val="left" w:pos="548" w:leader="none"/>
        </w:tabs>
        <w:bidi w:val="0"/>
        <w:spacing w:lineRule="auto" w:line="240" w:before="0" w:after="200"/>
        <w:ind w:left="0" w:right="0" w:firstLine="240"/>
        <w:jc w:val="left"/>
        <w:rPr/>
      </w:pPr>
      <w:r>
        <w:rPr>
          <w:color w:val="000000"/>
          <w:spacing w:val="0"/>
          <w:w w:val="100"/>
          <w:shd w:fill="auto" w:val="clear"/>
          <w:lang w:val="en-US" w:eastAsia="en-US" w:bidi="en-US"/>
        </w:rPr>
        <w:t>J. D. Mabbott, The State and the Citizen, (2. Auflage) (London: Hutchinson &amp; Co., 1967), S. 19.</w:t>
      </w:r>
    </w:p>
    <w:p>
      <w:pPr>
        <w:pStyle w:val="Flietext1"/>
        <w:keepNext w:val="false"/>
        <w:keepLines w:val="false"/>
        <w:widowControl w:val="false"/>
        <w:shd w:val="clear" w:color="auto" w:fill="auto"/>
        <w:bidi w:val="0"/>
        <w:spacing w:before="0" w:after="260"/>
        <w:ind w:left="0" w:right="0" w:firstLine="280"/>
        <w:jc w:val="both"/>
        <w:rPr/>
      </w:pPr>
      <w:r>
        <w:rPr>
          <w:color w:val="000000"/>
          <w:spacing w:val="0"/>
          <w:w w:val="100"/>
          <w:shd w:fill="auto" w:val="clear"/>
          <w:vertAlign w:val="superscript"/>
          <w:lang w:val="en-US" w:eastAsia="en-US" w:bidi="en-US"/>
        </w:rPr>
        <w:t>Natürlich sind diese „Verpflichtungen“ des Souveräns rein aufsichtsrechtlicher Art und in keiner Weise formale Beschränkungen seiner Macht; wenn der Souverän sie nicht einhält, handelt er nicht ungerecht (das heißt, er bricht keinen gültigen Bund), sondern ist lediglich dumm, indem er seine eigene Position gefährdet. Da der Zustand des natürlichen Menschen ein endloses Streben nach Macht nach Macht ist68 und da der Souverän allein im natürlichen Zustand der Menschheit verbleibt, ist es nach Hobbes' Berücksichtigung der menschlichen Psychologie undenkbar, dass er nicht bereit sein sollte, alles zu tun, um ihn zu erhalten seine Macht. (Anscheinend werden diejenigen, die einen so großzügigen Charakter haben und so schlecht beraten sind, Bündnisse im natürlichen Zustand der Menschheit einzuhalten69, keine Souveräne.) Die Verpflichtungen des Souveräns ähneln den Naturgesetzen, denn sie werden ausdrücklich von ihnen abgeleitet – der Souverän, der ignoriert sie ist nicht böse, sondern nur töricht, da er so handelt, dass das erste Naturgesetz nicht Gehorsam gegenüber seiner Macht, sondern Widerstand rät, indem seine Aktivitäten die persönliche Sicherheit, die die war, bedrohen, nicht erhöhen Grund für den Übergang vom ersten zum zweiten Naturgesetz. Wenn ein Souverän so handelt, wird das Ergebnis nicht in Begriffen eines gerechten und gerechten Aufstands des Volkes beschrieben; vielmehr ist es eine „natürliche Bestrafung“ eines törichten Monarchen, in etwa dem Sinne, dass ein Kater eine natürliche Bestrafung für geselliges Exzess ist.70</w:t>
      </w:r>
    </w:p>
    <w:p>
      <w:pPr>
        <w:pStyle w:val="Flietext1"/>
        <w:keepNext w:val="false"/>
        <w:keepLines w:val="false"/>
        <w:widowControl w:val="false"/>
        <w:shd w:val="clear" w:color="auto" w:fill="auto"/>
        <w:bidi w:val="0"/>
        <w:spacing w:before="0" w:after="260"/>
        <w:ind w:left="0" w:right="0" w:firstLine="280"/>
        <w:jc w:val="both"/>
        <w:rPr/>
      </w:pPr>
      <w:r>
        <w:rPr>
          <w:color w:val="000000"/>
          <w:spacing w:val="0"/>
          <w:w w:val="100"/>
          <w:shd w:fill="auto" w:val="clear"/>
          <w:lang w:val="en-US" w:eastAsia="en-US" w:bidi="en-US"/>
        </w:rPr>
        <w:t>Zweitens ist der im Zivilvertrag enthaltene Bund nicht der einzige, der von der Zivilmacht durchgesetzt werden soll.71 Kein Bund ist bindend, wenn er nicht durch ein Schwert gestützt wird – was nicht heißt, dass niemand ein Versprechen halten wird, ohne dass eine Keule gehalten wird sein Haupt, aber nur, dass Verträge ohne gegenseitiges Vertrauen nicht verbindlich sein können, eine Bedingung, die nur durch die Existenz des Souveräns als gemeinsame Macht über alle mit ausreichender Macht erfüllt ist, um Erfüllung zu erzwingen. Der Souverän kann seine Erklärungen zur Moral und zu religiösen Bräuchen abgeben,72 die alle in Bezug auf das Thema als verbindlich angesehen werden und von ihm nicht in Frage gestellt oder angefochten werden dürfen; In dieser Hinsicht ist der Souverän absolut und der Schöpfer, nicht nur der Vollstrecker der Moral. Gerechtigkeit, definiert als das Nichtbrechen gültiger Vereinbarungen, wird jedoch getrennt vom Befehl des Souveräns definiert; Der Souverän kann natürlich Entscheidungen darüber treffen, was einen Vertrag ausmacht (sind Zeugen erforderlich? Muss er unterzeichnet werden?), darf Verträge als solche jedoch nicht angreifen. Verträge sind im bürgerlichen Zustand verbindlich, und ihr verbindlicher Charakter wird zu einem grundlegenden und integralen Bestandteil des bürgerlichen Zustands gemacht; wie Hill sagt, ist die Grundlage sowohl des Staates als auch der Moral der Vertrag.73 Im natürlichen Zustand der Menschheit stellt sich die Frage „Warum sollte ich das tun?“ wird nie zufriedenstellend und erschöpfend durch die Antwort „Weil du es versprochen hast“ beantwortet (abgesehen von dem sehr speziellen Fall der ersten Art von Versprechen); im bürgerlichen Zustand, unter der gemeinsamen Macht des Souveräns, ist es immer mit einer solchen Antwort zufrieden.</w:t>
      </w:r>
    </w:p>
    <w:p>
      <w:pPr>
        <w:pStyle w:val="Flietext21"/>
        <w:keepNext w:val="false"/>
        <w:keepLines w:val="false"/>
        <w:widowControl w:val="false"/>
        <w:numPr>
          <w:ilvl w:val="0"/>
          <w:numId w:val="9"/>
        </w:numPr>
        <w:shd w:val="clear" w:color="auto" w:fill="auto"/>
        <w:tabs>
          <w:tab w:val="clear" w:pos="720"/>
          <w:tab w:val="left" w:pos="543" w:leader="none"/>
        </w:tabs>
        <w:bidi w:val="0"/>
        <w:spacing w:lineRule="auto" w:line="240" w:before="0" w:after="0"/>
        <w:ind w:left="0" w:right="0" w:firstLine="240"/>
        <w:jc w:val="both"/>
        <w:rPr/>
      </w:pPr>
      <w:r>
        <w:rPr>
          <w:color w:val="000000"/>
          <w:spacing w:val="0"/>
          <w:w w:val="100"/>
          <w:shd w:fill="auto" w:val="clear"/>
          <w:lang w:val="en-US" w:eastAsia="en-US" w:bidi="en-US"/>
        </w:rPr>
        <w:t>Hobbes, Leviathan, Teil I, Kapitel 11, S. 161</w:t>
      </w:r>
    </w:p>
    <w:p>
      <w:pPr>
        <w:pStyle w:val="Flietext21"/>
        <w:keepNext w:val="false"/>
        <w:keepLines w:val="false"/>
        <w:widowControl w:val="false"/>
        <w:numPr>
          <w:ilvl w:val="0"/>
          <w:numId w:val="9"/>
        </w:numPr>
        <w:shd w:val="clear" w:color="auto" w:fill="auto"/>
        <w:tabs>
          <w:tab w:val="clear" w:pos="720"/>
          <w:tab w:val="left" w:pos="543" w:leader="none"/>
        </w:tabs>
        <w:bidi w:val="0"/>
        <w:spacing w:lineRule="auto" w:line="220" w:before="0" w:after="0"/>
        <w:ind w:left="0" w:right="0" w:firstLine="240"/>
        <w:jc w:val="both"/>
        <w:rPr/>
      </w:pPr>
      <w:r>
        <w:rPr>
          <w:color w:val="000000"/>
          <w:spacing w:val="0"/>
          <w:w w:val="100"/>
          <w:shd w:fill="auto" w:val="clear"/>
          <w:lang w:val="en-US" w:eastAsia="en-US" w:bidi="en-US"/>
        </w:rPr>
        <w:t>Hobbes, Leviathan, Teil I, Kapitel 14, S. 200.</w:t>
      </w:r>
    </w:p>
    <w:p>
      <w:pPr>
        <w:pStyle w:val="Flietext21"/>
        <w:keepNext w:val="false"/>
        <w:keepLines w:val="false"/>
        <w:widowControl w:val="false"/>
        <w:numPr>
          <w:ilvl w:val="0"/>
          <w:numId w:val="9"/>
        </w:numPr>
        <w:shd w:val="clear" w:color="auto" w:fill="auto"/>
        <w:tabs>
          <w:tab w:val="clear" w:pos="720"/>
          <w:tab w:val="left" w:pos="553" w:leader="none"/>
        </w:tabs>
        <w:bidi w:val="0"/>
        <w:spacing w:before="0" w:after="0"/>
        <w:ind w:left="0" w:right="0" w:firstLine="240"/>
        <w:jc w:val="both"/>
        <w:rPr/>
      </w:pPr>
      <w:r>
        <w:rPr>
          <w:color w:val="000000"/>
          <w:spacing w:val="0"/>
          <w:w w:val="100"/>
          <w:shd w:fill="auto" w:val="clear"/>
          <w:lang w:val="en-US" w:eastAsia="en-US" w:bidi="en-US"/>
        </w:rPr>
        <w:t>Hobbes, Leviathan, Teil II. Kap.31, S.407</w:t>
      </w:r>
    </w:p>
    <w:p>
      <w:pPr>
        <w:pStyle w:val="Flietext21"/>
        <w:keepNext w:val="false"/>
        <w:keepLines w:val="false"/>
        <w:widowControl w:val="false"/>
        <w:numPr>
          <w:ilvl w:val="0"/>
          <w:numId w:val="9"/>
        </w:numPr>
        <w:shd w:val="clear" w:color="auto" w:fill="auto"/>
        <w:tabs>
          <w:tab w:val="clear" w:pos="720"/>
          <w:tab w:val="left" w:pos="553" w:leader="none"/>
        </w:tabs>
        <w:bidi w:val="0"/>
        <w:spacing w:lineRule="auto" w:line="220" w:before="0" w:after="200"/>
        <w:ind w:left="0" w:right="0" w:firstLine="240"/>
        <w:jc w:val="left"/>
        <w:rPr/>
      </w:pPr>
      <w:r>
        <w:rPr>
          <w:i/>
          <w:iCs/>
          <w:color w:val="000000"/>
          <w:spacing w:val="0"/>
          <w:w w:val="100"/>
          <w:shd w:fill="auto" w:val="clear"/>
          <w:lang w:val="en-US" w:eastAsia="en-US" w:bidi="en-US"/>
        </w:rPr>
        <w:t>vgl. Hill, Puritanismus und Revolution; und Macpherson, Possessiver Individualismus.</w:t>
      </w:r>
    </w:p>
    <w:p>
      <w:pPr>
        <w:pStyle w:val="Flietext1"/>
        <w:keepNext w:val="false"/>
        <w:keepLines w:val="false"/>
        <w:widowControl w:val="false"/>
        <w:shd w:val="clear" w:color="auto" w:fill="auto"/>
        <w:bidi w:val="0"/>
        <w:spacing w:before="0" w:after="260"/>
        <w:ind w:left="0" w:right="0" w:firstLine="280"/>
        <w:jc w:val="both"/>
        <w:rPr/>
      </w:pPr>
      <w:r>
        <w:rPr>
          <w:color w:val="000000"/>
          <w:spacing w:val="0"/>
          <w:w w:val="100"/>
          <w:shd w:fill="auto" w:val="clear"/>
          <w:lang w:val="en-US" w:eastAsia="en-US" w:bidi="en-US"/>
        </w:rPr>
        <w:t>Aber es gibt offensichtlich eine wichtigere Lücke in der Argumentation. Zieht man Schlussfolgerungen ausschließlich aus den Hobbesschen Prämissen, wie zuvor diskutiert, so scheint es, dass die Definition von Gerechtigkeit nur den Gehorsam gegenüber dem Zivilbund umfassen muss und dass die Pflichten des Souveräns nur seinen eigenen Unterhalt und die Bereitstellung physischer Sicherheit für seine Untertanen umfassen müssen das heißt, vereinfacht gesagt, nur Gesetze gegen Mord und Verrat. Zugegeben, nichts als Selbstbeherrschung würde den Souverän innerhalb dieser Grenzen halten, aber ebenso braucht ihn nichts darüber hinaus zu ziehen. Die Bereitstellung einer gemeinsamen Macht mit ausreichender Stärke, um die Erfüllung von Versprechen zu erzwingen, ist eine Sache; Die Behauptung, dass die gemeinsame Macht diese Stärke für einen solchen Zweck verwenden wird oder sollte, ist eine andere, und eine, die logisch verschieden ist. Der Zivilvertrag ist insofern einzigartig, als er gleichzeitig die Bedingungen schafft, die für die Verbindlichkeit eines Vertrags erforderlich sind, aber warum muss dies Auswirkungen auf Verträge haben, die nicht zu dieser einzigartigen Klasse gehören? Was rechtfertigt Hobbes' Ausweitung des Gerechtigkeitsbegriffs auf nicht nur diesen einen zentralen Gründungsbund, sondern auf alle Verheißungen? Warum verwechselt er die theoretische Angemessenheit der souveränen Macht für einen Zweck mit ihrer tatsächlichen Verwendung für diesen Zweck? Dies impliziert eine leichte Verschiebung des Schwerpunkts in Hobbes' Analyse; menschliche Kooperation in den Mittelpunkt gerückt, die erschwerenden Bedingungen des Naturzustands der Menschheit abgelehnt, weil sie einer erweiterten Kooperation entgegenstehen, und das Argument der Selbsterhaltung als Wegweiser aus diesem Naturzustand und damit zur Ermöglichung stabiler Kooperation herangezogen. Hobbes hat zwar einen Staat mit minimalen Funktionen im Sinn, aber er ist nicht so minimal wie die oben vorgeschlagene absolut abgespeckte Version, und das liegt daran, dass die Zivilgesellschaft, die Hobbes im Auge hat, mehr als nur minimale Sicherheit bietet. Es soll eine stabile Zusammenarbeit ermöglichen und folglich auch die Annehmlichkeiten der Zivilisation bieten. Das Leben des Menschen im natürlichen Zustand der Menschheit wird nicht nur als kurz beklagt, sondern auch als „einsam, arm, gemein, brutal“, und die Schmährede gegen den natürlichen Zustand der Menschheit umfasst Folgendes Anklage: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1"/>
        <w:keepNext w:val="false"/>
        <w:keepLines w:val="false"/>
        <w:widowControl w:val="false"/>
        <w:shd w:val="clear" w:color="auto" w:fill="auto"/>
        <w:bidi w:val="0"/>
        <w:spacing w:before="0" w:after="260"/>
        <w:ind w:left="240" w:right="0" w:firstLine="380"/>
        <w:jc w:val="both"/>
        <w:rPr/>
      </w:pPr>
      <w:r>
        <w:rPr>
          <w:color w:val="000000"/>
          <w:spacing w:val="0"/>
          <w:w w:val="100"/>
          <w:shd w:fill="auto" w:val="clear"/>
          <w:vertAlign w:val="superscript"/>
          <w:lang w:val="en-US" w:eastAsia="en-US" w:bidi="en-US"/>
        </w:rPr>
        <w:t>In einem solchen Zustand ist kein Platz für Industrie; weil die Frucht davon ungewiss ist; und folglich keine Kultur der Erde; keine Schifffahrt oder Verwendung der Waren, die auf dem Seeweg importiert werden können; kein geräumiges Gebäude; keine Instrumente zum Bewegen und Entfernen solcher Dinge, die eine solche Kraft erfordern; kein Wissen über das Antlitz der Erde; kein Zeitkonto; keine Künste; keine Buchstaben; keine Gesellschaft.74</w:t>
      </w:r>
    </w:p>
    <w:p>
      <w:pPr>
        <w:pStyle w:val="Flietext21"/>
        <w:keepNext w:val="false"/>
        <w:keepLines w:val="false"/>
        <w:widowControl w:val="false"/>
        <w:numPr>
          <w:ilvl w:val="0"/>
          <w:numId w:val="9"/>
        </w:numPr>
        <w:shd w:val="clear" w:color="auto" w:fill="auto"/>
        <w:tabs>
          <w:tab w:val="clear" w:pos="720"/>
          <w:tab w:val="left" w:pos="553" w:leader="none"/>
        </w:tabs>
        <w:bidi w:val="0"/>
        <w:spacing w:lineRule="auto" w:line="240" w:before="0" w:after="0"/>
        <w:ind w:left="0" w:right="0" w:firstLine="240"/>
        <w:jc w:val="left"/>
        <w:rPr/>
      </w:pPr>
      <w:r>
        <w:rPr>
          <w:color w:val="000000"/>
          <w:spacing w:val="0"/>
          <w:w w:val="100"/>
          <w:shd w:fill="auto" w:val="clear"/>
          <w:lang w:val="en-US" w:eastAsia="en-US" w:bidi="en-US"/>
        </w:rPr>
        <w:t>Hobbes, Leviathan, Teil II Kap.31, passim.</w:t>
      </w:r>
    </w:p>
    <w:p>
      <w:pPr>
        <w:pStyle w:val="Flietext21"/>
        <w:keepNext w:val="false"/>
        <w:keepLines w:val="false"/>
        <w:widowControl w:val="false"/>
        <w:numPr>
          <w:ilvl w:val="0"/>
          <w:numId w:val="9"/>
        </w:numPr>
        <w:shd w:val="clear" w:color="auto" w:fill="auto"/>
        <w:tabs>
          <w:tab w:val="clear" w:pos="720"/>
          <w:tab w:val="left" w:pos="553" w:leader="none"/>
        </w:tabs>
        <w:bidi w:val="0"/>
        <w:spacing w:before="0" w:after="200"/>
        <w:ind w:left="0" w:right="0" w:firstLine="240"/>
        <w:jc w:val="left"/>
        <w:rPr/>
      </w:pPr>
      <w:r>
        <w:rPr>
          <w:color w:val="000000"/>
          <w:spacing w:val="0"/>
          <w:w w:val="100"/>
          <w:shd w:fill="auto" w:val="clear"/>
          <w:lang w:val="en-US" w:eastAsia="en-US" w:bidi="en-US"/>
        </w:rPr>
        <w:t>Hill, Puritanismus und Revolution, S. 290.</w:t>
      </w:r>
    </w:p>
    <w:p>
      <w:pPr>
        <w:pStyle w:val="Flietext1"/>
        <w:keepNext w:val="false"/>
        <w:keepLines w:val="false"/>
        <w:widowControl w:val="false"/>
        <w:shd w:val="clear" w:color="auto" w:fill="auto"/>
        <w:bidi w:val="0"/>
        <w:spacing w:before="0" w:after="240"/>
        <w:ind w:left="0" w:right="0" w:hanging="0"/>
        <w:jc w:val="both"/>
        <w:rPr/>
      </w:pPr>
      <w:r>
        <w:rPr>
          <w:color w:val="000000"/>
          <w:spacing w:val="0"/>
          <w:w w:val="100"/>
          <w:shd w:fill="auto" w:val="clear"/>
          <w:lang w:val="en-US" w:eastAsia="en-US" w:bidi="en-US"/>
        </w:rPr>
        <w:t>Dieses Argument ist nicht nur ein Sprung über die strengen Schlussfolgerungen hinaus, zu denen Hobbes' Prämissen ihn berechtigen; es führt auch ein Element ein, das dem allgemeinen Geist seiner Argumentation völlig widerspricht. Es impliziert, dass die Hobbes'sche Theorie des Souveräns einen bedeutenden ideellen Aspekt hat; Während die Bereitstellung einer minimalen Sicherheit eine Einschränkung ist, die von jedem Einzelnen leicht beurteilt und vom Souverän selten verletzt wird, wird die Garantie und Durchsetzung aller Versprechen, die so definiert sind, dass sie eine so umfassende Zusammenarbeit bei einer viel anspruchsvolleren Anforderung ermöglichen, wahrscheinlich nicht erfüllt von vielen tatsächlichen Herrschern, die sich leicht unter der ersten Zählung qualifizieren würden. Obwohl Hobbes nicht direkt feststellt, dass eine Revolution aus diesem Grund gerechtfertigt wäre, verleiht dies seiner Analyse neben ihrem starken Pragmatismus (dem „grimmigen Realismus“, wie Laski75 ihn nennt) Elemente einer Suche nach einem idealen Staat. Es impliziert auch, dass die Situation des Hobbesschen Bürgers gegenüber dem Souverän nicht ganz so stark und minimal ist, wie andere Passagen vermuten lassen. Wenn jedoch die rigorose Ableitung des Souveräns, der minimale Sicherheit durch maximale Macht aus dem natürlichen Zustand der Menschheit bietet, als Hobbismus bezeichnet wird, dann muss diese Bereitstellung von Garantien für alle Verträge als Teil der notwendigen Funktion eines solchen Souveräns als „Hobbismus plus“ bezeichnet werden. “ und wenn der Hobbismus ein Argument von Strenge, logischer Schönheit und ewigem Wert ist, ist das Plus-Element weniger eng gewebt. Uns bleibt das Problem des Souveräns, der nicht mehr tut, als Mord zu verhindern und Zivilverträge durchzusetzen – das heißt, der zu allen anderen Verträgen schweigt – und es ist nicht klar, wie die Hobbes'sche Logik ein Verfahren gegen ihn ermöglicht.</w:t>
      </w:r>
    </w:p>
    <w:p>
      <w:pPr>
        <w:pStyle w:val="Flietext21"/>
        <w:keepNext w:val="false"/>
        <w:keepLines w:val="false"/>
        <w:widowControl w:val="false"/>
        <w:numPr>
          <w:ilvl w:val="0"/>
          <w:numId w:val="9"/>
        </w:numPr>
        <w:shd w:val="clear" w:color="auto" w:fill="auto"/>
        <w:tabs>
          <w:tab w:val="clear" w:pos="720"/>
          <w:tab w:val="left" w:pos="548" w:leader="none"/>
        </w:tabs>
        <w:bidi w:val="0"/>
        <w:spacing w:lineRule="auto" w:line="240" w:before="0" w:after="200"/>
        <w:ind w:left="0" w:right="0" w:firstLine="240"/>
        <w:jc w:val="left"/>
        <w:rPr/>
      </w:pPr>
      <w:r>
        <w:rPr>
          <w:color w:val="000000"/>
          <w:spacing w:val="0"/>
          <w:w w:val="100"/>
          <w:shd w:fill="auto" w:val="clear"/>
          <w:lang w:val="en-US" w:eastAsia="en-US" w:bidi="en-US"/>
        </w:rPr>
        <w:t>Hobbes, Leviathan, Teil I, Kapitel 13, S. 186</w:t>
      </w:r>
    </w:p>
    <w:p>
      <w:pPr>
        <w:pStyle w:val="Flietext1"/>
        <w:keepNext w:val="false"/>
        <w:keepLines w:val="false"/>
        <w:widowControl w:val="false"/>
        <w:shd w:val="clear" w:color="auto" w:fill="auto"/>
        <w:bidi w:val="0"/>
        <w:spacing w:before="0" w:after="280"/>
        <w:ind w:left="0" w:right="0" w:firstLine="280"/>
        <w:jc w:val="both"/>
        <w:rPr/>
      </w:pPr>
      <w:r>
        <w:rPr>
          <w:color w:val="000000"/>
          <w:spacing w:val="0"/>
          <w:w w:val="100"/>
          <w:shd w:fill="auto" w:val="clear"/>
          <w:lang w:val="en-US" w:eastAsia="en-US" w:bidi="en-US"/>
        </w:rPr>
        <w:t>Wie die Begriffe der Hobbesschen Argumentation deutlich machen, argumentiert er auf einer Ebene, die weit entfernt ist von der der Protagonisten des Bürgerkriegs, und ist daher trotz seiner persönlichen Vorliebe für die Monarchie im Wesentlichen unparteiisch. Das Schwert ist notwendig, damit Bündnisse binden und Sicherheit erreicht wird, aber ob ein Cromwell oder ein Charles das Schwert führt, ist so unerheblich, dass es irrational wird, auch nur eine Präferenz zu nennen. Das Hobbessche Subjekt gehorcht, weil die Alternative zum Gehorsamsvertrag eine Rückkehr zu einem unsicheren anarchischen Zustand ist, nicht weil der Souverän oder das System aktiv seine Loyalität oder Zuneigung einfordert. Die Treue gilt nicht dem Souverän, sondern streng genommen der individuellen Selbsterhaltung, und die Regierung wird als Mittel zu diesem Zweck rein utilitaristisch bewertet. Gehorsam beruht nicht auf Billigung (Hobbes räumt ein, dass die Handlungen eines Herrschers „ungerecht“ sein könnten)76, sondern auf einer zweifachen Klugheit, die auf einer zweifachen Angst beruht – Angst vor Bestrafung und, noch zwingender, Angst vor einer Rückkehr zum natürlichen Zustand der Menschheit. Indem Hobbes die logischen und umsichtigen Bindungen zwischen Souverän und Untertan stärkt, eliminiert er die emotionalen Bindungen vollständig. Der Souverän regiert nicht, weil er geliebt wird, nicht weil er legitim ist, sondern weil er notwendig ist. Die gesamte Substanz der monarchistischen Sache wird implizit als irrelevant und sogar gefährlich falsch zurückgewiesen. Die gleiche Logik gilt gegen die mystischen Behauptungen von Nationalismus, Organizismus und Zeitgeist, und Latey liegt damit völlig daneben, wenn er Hobbes den „Animismus oder pathetischen Irrtum“ vorwirft, der Abstraktionen und Institutionen so behandelt, als hätten sie ein Eigenleben. “77 Wenn überhaupt, irrt Hobbes in die andere Richtung.</w:t>
      </w:r>
    </w:p>
    <w:p>
      <w:pPr>
        <w:pStyle w:val="Flietext1"/>
        <w:keepNext w:val="false"/>
        <w:keepLines w:val="false"/>
        <w:widowControl w:val="false"/>
        <w:shd w:val="clear" w:color="auto" w:fill="auto"/>
        <w:bidi w:val="0"/>
        <w:spacing w:before="0" w:after="280"/>
        <w:ind w:left="0" w:right="0" w:firstLine="300"/>
        <w:jc w:val="both"/>
        <w:rPr/>
      </w:pPr>
      <w:r>
        <w:rPr>
          <w:color w:val="000000"/>
          <w:spacing w:val="0"/>
          <w:w w:val="100"/>
          <w:shd w:fill="auto" w:val="clear"/>
          <w:lang w:val="en-US" w:eastAsia="en-US" w:bidi="en-US"/>
        </w:rPr>
        <w:t>Der Fokus der Diskussion kehrt immer wieder auf einen einzigen Punkt zurück – den Souverän als die gemeinsame Macht über alles und die einzige Alternative zum natürlichen Zustand der Menschheit. Warrender bringt den Finger auf einen entscheidenden Punkt in Hobbes Argumentation zur politischen Verpflichtung, wenn er sagt:</w:t>
      </w:r>
    </w:p>
    <w:p>
      <w:pPr>
        <w:pStyle w:val="Flietext1"/>
        <w:keepNext w:val="false"/>
        <w:keepLines w:val="false"/>
        <w:widowControl w:val="false"/>
        <w:shd w:val="clear" w:color="auto" w:fill="auto"/>
        <w:bidi w:val="0"/>
        <w:spacing w:lineRule="auto" w:line="259" w:before="0" w:after="280"/>
        <w:ind w:left="260" w:right="0" w:firstLine="360"/>
        <w:jc w:val="left"/>
        <w:rPr/>
      </w:pPr>
      <w:r>
        <w:rPr>
          <w:color w:val="000000"/>
          <w:spacing w:val="0"/>
          <w:w w:val="100"/>
          <w:shd w:fill="auto" w:val="clear"/>
          <w:vertAlign w:val="superscript"/>
          <w:lang w:val="en-US" w:eastAsia="en-US" w:bidi="en-US"/>
        </w:rPr>
        <w:t>Der ethische Begriff wird nicht eliminiert, sondern auf den Urheber des Gesetzes übertragen ... und die Frage, warum der Einzelne dem Gesetz gehorchen sollte, wird zur Frage, warum er dem Urheber des Gesetzes gehorchen sollte.78</w:t>
      </w:r>
    </w:p>
    <w:p>
      <w:pPr>
        <w:pStyle w:val="Flietext21"/>
        <w:keepNext w:val="false"/>
        <w:keepLines w:val="false"/>
        <w:widowControl w:val="false"/>
        <w:numPr>
          <w:ilvl w:val="0"/>
          <w:numId w:val="9"/>
        </w:numPr>
        <w:shd w:val="clear" w:color="auto" w:fill="auto"/>
        <w:tabs>
          <w:tab w:val="clear" w:pos="720"/>
          <w:tab w:val="left" w:pos="538" w:leader="none"/>
        </w:tabs>
        <w:bidi w:val="0"/>
        <w:spacing w:lineRule="auto" w:line="213" w:before="0" w:after="200"/>
        <w:ind w:left="0" w:right="0" w:firstLine="300"/>
        <w:jc w:val="both"/>
        <w:rPr/>
      </w:pPr>
      <w:r>
        <w:rPr>
          <w:color w:val="000000"/>
          <w:spacing w:val="0"/>
          <w:w w:val="100"/>
          <w:shd w:fill="auto" w:val="clear"/>
          <w:lang w:val="en-US" w:eastAsia="en-US" w:bidi="en-US"/>
        </w:rPr>
        <w:t>Harold J. Laski, The Rise of European Liberalism: An Essay in Interpretation (London: George Allen &amp; Unwin Ltd., 1936), S. 118.</w:t>
      </w:r>
    </w:p>
    <w:p>
      <w:pPr>
        <w:pStyle w:val="Flietext1"/>
        <w:keepNext w:val="false"/>
        <w:keepLines w:val="false"/>
        <w:widowControl w:val="false"/>
        <w:shd w:val="clear" w:color="auto" w:fill="auto"/>
        <w:bidi w:val="0"/>
        <w:spacing w:before="0" w:after="280"/>
        <w:ind w:left="0" w:right="0" w:hanging="0"/>
        <w:jc w:val="both"/>
        <w:rPr/>
      </w:pPr>
      <w:r>
        <w:rPr>
          <w:color w:val="000000"/>
          <w:spacing w:val="0"/>
          <w:w w:val="100"/>
          <w:shd w:fill="auto" w:val="clear"/>
          <w:lang w:val="en-US" w:eastAsia="en-US" w:bidi="en-US"/>
        </w:rPr>
        <w:t>Genau so; Für Hobbes ist das Ganze eine Alles-oder-Nichts-Angelegenheit. Wie viele zeitgenössische Theoretiker (allerdings aus eher logischen Gründen) wirft er allen Ungehorsam in einen Topf als logische Tendenz zur Zerstörung der Autorität des Souveräns und als Ablehnung des Gehorsamsvertrags, der allein die Rückkehr zum anarchischen Naturzustand der Menschheit verhindert. Er weigert sich, Ungehorsam unabhängig von seiner Implikation einer Ablehnung der logischen Voraussetzungen der sozialen Ordnung zu betrachten. Es ist schwer vorstellbar, dass Hobbes mit irgendeiner Sympathie für Praktizierende des zivilen Ungehorsams schreibt (trotz Flathman)79; für ihn ist die Zivilgesellschaft ein zerbrechlicher Zustand, und das Chaos des natürlichen Zustands der Menschheit ist immer eine reale und gegenwärtige Gefahr. Daher kann ein Gesetz nicht gesondert in Frage gestellt werden; man fragt nicht nach der Rechtfertigung eines bestimmten Gesetzes, sondern nach den Beglaubigungen des Souveräns, der es erlassen hat, und diese Beglaubigungen sind sein Machtbesitz, um eine Bedingung gegenseitigen Vertrauens schaffen zu können</w:t>
      </w:r>
    </w:p>
    <w:p>
      <w:pPr>
        <w:pStyle w:val="Flietext1"/>
        <w:keepNext w:val="false"/>
        <w:keepLines w:val="false"/>
        <w:widowControl w:val="false"/>
        <w:shd w:val="clear" w:color="auto" w:fill="auto"/>
        <w:bidi w:val="0"/>
        <w:spacing w:before="0" w:after="260"/>
        <w:ind w:left="0" w:right="0" w:hanging="0"/>
        <w:jc w:val="both"/>
        <w:rPr/>
      </w:pPr>
      <w:r>
        <w:rPr>
          <w:i/>
          <w:iCs/>
          <w:color w:val="000000"/>
          <w:spacing w:val="0"/>
          <w:w w:val="100"/>
          <w:shd w:fill="auto" w:val="clear"/>
          <w:lang w:val="en-US" w:eastAsia="en-US" w:bidi="en-US"/>
        </w:rPr>
        <w:t>und so eine Rückkehr zu diesem natürlichen Zustand verhindern. Eine Infragestellung eines Teils des Zivilstaats reduziert sich auf eine Infragestellung des Ganzen, und selbst wenn die Teile gelegentlich von zweifelhaftem Wert oder unanständigem Aussehen sind, steht das Ganze auf soliden moralischen und vernünftigen Gründen. In diesem Totalismus liegt die Begründung einer moralischen politischen Verpflichtung in Leviathan.</w:t>
      </w:r>
    </w:p>
    <w:p>
      <w:pPr>
        <w:pStyle w:val="Flietext21"/>
        <w:keepNext w:val="false"/>
        <w:keepLines w:val="false"/>
        <w:widowControl w:val="false"/>
        <w:numPr>
          <w:ilvl w:val="0"/>
          <w:numId w:val="10"/>
        </w:numPr>
        <w:shd w:val="clear" w:color="auto" w:fill="auto"/>
        <w:tabs>
          <w:tab w:val="clear" w:pos="720"/>
          <w:tab w:val="left" w:pos="553" w:leader="none"/>
        </w:tabs>
        <w:bidi w:val="0"/>
        <w:spacing w:lineRule="auto" w:line="240" w:before="0" w:after="0"/>
        <w:ind w:left="0" w:right="0" w:firstLine="240"/>
        <w:jc w:val="left"/>
        <w:rPr/>
      </w:pPr>
      <w:r>
        <w:rPr>
          <w:color w:val="000000"/>
          <w:spacing w:val="0"/>
          <w:w w:val="100"/>
          <w:shd w:fill="auto" w:val="clear"/>
          <w:lang w:val="en-US" w:eastAsia="en-US" w:bidi="en-US"/>
        </w:rPr>
        <w:t>Hobbes, Leviathan, Teil II Kap. 18, S.232</w:t>
      </w:r>
    </w:p>
    <w:p>
      <w:pPr>
        <w:pStyle w:val="Flietext21"/>
        <w:keepNext w:val="false"/>
        <w:keepLines w:val="false"/>
        <w:widowControl w:val="false"/>
        <w:numPr>
          <w:ilvl w:val="0"/>
          <w:numId w:val="10"/>
        </w:numPr>
        <w:shd w:val="clear" w:color="auto" w:fill="auto"/>
        <w:tabs>
          <w:tab w:val="clear" w:pos="720"/>
          <w:tab w:val="left" w:pos="553" w:leader="none"/>
        </w:tabs>
        <w:bidi w:val="0"/>
        <w:spacing w:lineRule="auto" w:line="220" w:before="0" w:after="0"/>
        <w:ind w:left="0" w:right="0" w:firstLine="240"/>
        <w:jc w:val="left"/>
        <w:rPr/>
      </w:pPr>
      <w:r>
        <w:rPr>
          <w:color w:val="000000"/>
          <w:spacing w:val="0"/>
          <w:w w:val="100"/>
          <w:shd w:fill="auto" w:val="clear"/>
          <w:lang w:val="en-US" w:eastAsia="en-US" w:bidi="en-US"/>
        </w:rPr>
        <w:t>Maurice Latey, Tyranny: A Study in the Abuse of Power, (London: Macmillan, 1969), S. 116.</w:t>
      </w:r>
    </w:p>
    <w:p>
      <w:pPr>
        <w:pStyle w:val="Flietext21"/>
        <w:keepNext w:val="false"/>
        <w:keepLines w:val="false"/>
        <w:widowControl w:val="false"/>
        <w:numPr>
          <w:ilvl w:val="0"/>
          <w:numId w:val="10"/>
        </w:numPr>
        <w:shd w:val="clear" w:color="auto" w:fill="auto"/>
        <w:tabs>
          <w:tab w:val="clear" w:pos="720"/>
          <w:tab w:val="left" w:pos="553" w:leader="none"/>
        </w:tabs>
        <w:bidi w:val="0"/>
        <w:spacing w:before="0" w:after="200"/>
        <w:ind w:left="0" w:right="0" w:firstLine="240"/>
        <w:jc w:val="left"/>
        <w:rPr/>
      </w:pPr>
      <w:r>
        <w:rPr>
          <w:color w:val="000000"/>
          <w:spacing w:val="0"/>
          <w:w w:val="100"/>
          <w:shd w:fill="auto" w:val="clear"/>
          <w:lang w:val="en-US" w:eastAsia="en-US" w:bidi="en-US"/>
        </w:rPr>
        <w:t>Warrander, Politische Philosophie von Hobbes, S. 469</w:t>
      </w:r>
    </w:p>
    <w:p>
      <w:pPr>
        <w:pStyle w:val="Flietext1"/>
        <w:keepNext w:val="false"/>
        <w:keepLines w:val="false"/>
        <w:widowControl w:val="false"/>
        <w:shd w:val="clear" w:color="auto" w:fill="auto"/>
        <w:bidi w:val="0"/>
        <w:spacing w:before="0" w:after="260"/>
        <w:ind w:left="0" w:right="0" w:firstLine="280"/>
        <w:jc w:val="both"/>
        <w:rPr/>
      </w:pPr>
      <w:r>
        <w:rPr>
          <w:color w:val="000000"/>
          <w:spacing w:val="0"/>
          <w:w w:val="100"/>
          <w:shd w:fill="auto" w:val="clear"/>
          <w:lang w:val="en-US" w:eastAsia="en-US" w:bidi="en-US"/>
        </w:rPr>
        <w:t>Wie Voegelin es ausdrückt, versuchte Hobbes, die Politik nicht um ein summum bonum herum zu organisieren, weil widersprüchliche Interpretationen dieses Ziels Bürgerkrieg und Chaos erzeugten, sondern um die Vermeidung eines summum malum, das der natürliche Zustand der Menschheit ist.80 Der Versuch eine bestimmte Ideologie zu verwirklichen war zu teuer, wenn sie die soziale Stabilität bedrohte; daher war die Erkenntnis der im Wesentlichen negativen Rolle der Politik ein notwendiges Korrektiv für solche zersetzenden und zersetzenden Tendenzen. Der subjektivistische und nominalistische Ansatz der Ethik verbietet es, die Staatsmacht aus ethischen Gründen in Frage zu stellen, indem er den Souverän zu einer Voraussetzung für die Ethik macht – man kann eine Idee nicht logischerweise dazu verwenden, die Prämissen dieser Idee anzugreifen. Die Gegenüberstellung der Punkte von Warrender und Voegelin offenbart die grundlegende Logik des Hobbesschen Konstrukts. Warum sollte ich dem Gesetz gehorchen? Weil der Souverän es befiehlt. Warum sollte ich dem Souverän gehorchen? Denn ein Gehorsamsvertrag gegenüber dem Souverän ist die einzige Möglichkeit, den schrecklichen und unsicheren Naturzustand der Menschheit zu vermeiden. Über diesen Punkt hinaus gibt es keinen Rückschritt in der Argumentation.</w:t>
      </w:r>
    </w:p>
    <w:p>
      <w:pPr>
        <w:pStyle w:val="Flietext21"/>
        <w:keepNext w:val="false"/>
        <w:keepLines w:val="false"/>
        <w:widowControl w:val="false"/>
        <w:numPr>
          <w:ilvl w:val="0"/>
          <w:numId w:val="10"/>
        </w:numPr>
        <w:shd w:val="clear" w:color="auto" w:fill="auto"/>
        <w:tabs>
          <w:tab w:val="clear" w:pos="720"/>
          <w:tab w:val="left" w:pos="553" w:leader="none"/>
        </w:tabs>
        <w:bidi w:val="0"/>
        <w:spacing w:lineRule="auto" w:line="240" w:before="0" w:after="0"/>
        <w:ind w:left="0" w:right="0" w:firstLine="240"/>
        <w:jc w:val="left"/>
        <w:rPr/>
      </w:pPr>
      <w:r>
        <w:rPr>
          <w:color w:val="000000"/>
          <w:spacing w:val="0"/>
          <w:w w:val="100"/>
          <w:shd w:fill="auto" w:val="clear"/>
          <w:lang w:val="en-US" w:eastAsia="en-US" w:bidi="en-US"/>
        </w:rPr>
        <w:t>Flathman, Politische Verpflichtung, S. 239</w:t>
      </w:r>
    </w:p>
    <w:p>
      <w:pPr>
        <w:pStyle w:val="Flietext21"/>
        <w:keepNext w:val="false"/>
        <w:keepLines w:val="false"/>
        <w:widowControl w:val="false"/>
        <w:numPr>
          <w:ilvl w:val="0"/>
          <w:numId w:val="10"/>
        </w:numPr>
        <w:shd w:val="clear" w:color="auto" w:fill="auto"/>
        <w:tabs>
          <w:tab w:val="clear" w:pos="720"/>
          <w:tab w:val="left" w:pos="553" w:leader="none"/>
        </w:tabs>
        <w:bidi w:val="0"/>
        <w:spacing w:lineRule="auto" w:line="220" w:before="0" w:after="200"/>
        <w:ind w:left="0" w:right="0" w:firstLine="240"/>
        <w:jc w:val="both"/>
        <w:rPr/>
      </w:pPr>
      <w:r>
        <w:rPr>
          <w:color w:val="000000"/>
          <w:spacing w:val="0"/>
          <w:w w:val="100"/>
          <w:shd w:fill="auto" w:val="clear"/>
          <w:lang w:val="en-US" w:eastAsia="en-US" w:bidi="en-US"/>
        </w:rPr>
        <w:t>Eric Voegelin, The New Science of Politics (Chicago: University of Chicago Press, 1952), S. 180.</w:t>
      </w:r>
    </w:p>
    <w:p>
      <w:pPr>
        <w:pStyle w:val="Flietext1"/>
        <w:keepNext w:val="false"/>
        <w:keepLines w:val="false"/>
        <w:widowControl w:val="false"/>
        <w:shd w:val="clear" w:color="auto" w:fill="auto"/>
        <w:bidi w:val="0"/>
        <w:spacing w:before="0" w:after="260"/>
        <w:ind w:left="0" w:right="0" w:firstLine="280"/>
        <w:jc w:val="both"/>
        <w:rPr/>
      </w:pPr>
      <w:r>
        <w:rPr>
          <w:color w:val="000000"/>
          <w:spacing w:val="0"/>
          <w:w w:val="100"/>
          <w:shd w:fill="auto" w:val="clear"/>
          <w:lang w:val="en-US" w:eastAsia="en-US" w:bidi="en-US"/>
        </w:rPr>
        <w:t>Es ist interessant und etwas ironisch, dass Hobbes es letztendlich versäumt hat, sich mit dem spezifischen und unmittelbaren Problem des englischen Bürgerkriegs zu befassen.</w:t>
      </w:r>
    </w:p>
    <w:p>
      <w:pPr>
        <w:pStyle w:val="Flietext1"/>
        <w:keepNext w:val="false"/>
        <w:keepLines w:val="false"/>
        <w:widowControl w:val="false"/>
        <w:shd w:val="clear" w:color="auto" w:fill="auto"/>
        <w:bidi w:val="0"/>
        <w:spacing w:lineRule="auto" w:line="252" w:before="0" w:after="260"/>
        <w:ind w:left="240" w:right="0" w:firstLine="380"/>
        <w:jc w:val="left"/>
        <w:rPr/>
      </w:pPr>
      <w:r>
        <w:rPr>
          <w:color w:val="000000"/>
          <w:spacing w:val="0"/>
          <w:w w:val="100"/>
          <w:shd w:fill="auto" w:val="clear"/>
          <w:vertAlign w:val="superscript"/>
          <w:lang w:val="en-US" w:eastAsia="en-US" w:bidi="en-US"/>
        </w:rPr>
        <w:t>(Hobbes') Bürger, so scheint es, hat alle seine natürlichen Rechte im Gegenzug für den Schutz seines Lebens aufgegeben. Daher könnte der Souverän seine Unterstützung erwarten, wann immer er sie braucht. Aber gerade in dem Moment, in dem der Souverän die Unterstützung seiner Untertanen am meisten braucht – während des Bürgerkriegs – wird sie ihm entzogen.81</w:t>
      </w:r>
    </w:p>
    <w:p>
      <w:pPr>
        <w:pStyle w:val="Flietext1"/>
        <w:keepNext w:val="false"/>
        <w:keepLines w:val="false"/>
        <w:widowControl w:val="false"/>
        <w:shd w:val="clear" w:color="auto" w:fill="auto"/>
        <w:bidi w:val="0"/>
        <w:spacing w:before="0" w:after="0"/>
        <w:ind w:left="0" w:right="0" w:hanging="0"/>
        <w:jc w:val="both"/>
        <w:rPr/>
      </w:pPr>
      <w:r>
        <w:rPr>
          <w:color w:val="000000"/>
          <w:spacing w:val="0"/>
          <w:w w:val="100"/>
          <w:shd w:fill="auto" w:val="clear"/>
          <w:lang w:val="en-US" w:eastAsia="en-US" w:bidi="en-US"/>
        </w:rPr>
        <w:t>Die Autorität des Souveräns ist nur dort unanfechtbar, wo und solange sie nicht effektiv in Frage gestellt wird. Aber es gibt keinen Unterschied zwischen De-facto-Macht und De-jure-Macht; Der „legitime“ Souverän ist derjenige, der in der Lage ist, genügend Kraft einzusetzen, um die gemeinsame Macht über alle zu sein und Bedingungen für gegenseitiges Vertrauen zu schaffen. Eine Rebellion legitimiert sich selbst durch Erfolg, und ein gescheiterter Souverän, der seine Untertanen aufruft, seine Sache zu retten, verschwendet den Atem. Hobbes behauptete, dass es einen höchsten und absoluten Souverän geben müsse, und er machte diese Aussage aus rein logischen Gründen; aber der ganze Streit des englischen Bürgerkriegs drehte sich nicht darum, ob es einen Souverän geben sollte, sondern nur darum, wer der Souverän sein sollte – König oder Parlament –, und Hobbes selbst erlaubte, dass der Souverän entweder eine Einzelperson oder eine Körperschaft sein konnte. Was Hobbes vorschlug, war ein Kriterium für die Wahl zwischen konkurrierenden Kräften ähnlicher Macht – also eine Grundlage für die Entscheidung, welcher Anspruch auf Legitimität haltbar war – und damit genau zu dem Zeitpunkt, als die Logik seiner Argumentation am offensichtlichsten war, ihre Vorschrift war am ungenauesten. Nur im bürgerlichen Frieden kann der Bürger eindeutig wissen, was er zu tun hat; Die Empfehlung von Hobbes ist keine Lösung für einen andauernden Bürgerkrieg, sondern eine Absage an die schiere Anarchie.</w:t>
      </w:r>
    </w:p>
    <w:p>
      <w:pPr>
        <w:pStyle w:val="Flietext1"/>
        <w:keepNext w:val="false"/>
        <w:keepLines w:val="false"/>
        <w:widowControl w:val="false"/>
        <w:shd w:val="clear" w:color="auto" w:fill="auto"/>
        <w:bidi w:val="0"/>
        <w:spacing w:before="0" w:after="260"/>
        <w:ind w:left="0" w:right="0" w:firstLine="320"/>
        <w:jc w:val="both"/>
        <w:rPr/>
      </w:pPr>
      <w:r>
        <w:rPr>
          <w:color w:val="000000"/>
          <w:spacing w:val="0"/>
          <w:w w:val="100"/>
          <w:shd w:fill="auto" w:val="clear"/>
          <w:vertAlign w:val="superscript"/>
          <w:lang w:val="en-US" w:eastAsia="en-US" w:bidi="en-US"/>
        </w:rPr>
        <w:t>Zusammenfassend: Hobbes postulierte eine grundsätzlich egoistische menschliche Natur und beschrieb von diesem logischen Ausgangspunkt aus, wie das Leben ohne eine „gemeinsame Macht über alles“ aussehen würde. Die Unerwünschtheit dieses natürlichen Zustands der Menschheit macht den Zivilbund zur einzigen rationalen Option für selbstsüchtige, aber vernünftige Menschen, und im Interesse der Selbsterhaltung veräußert er sein „Recht auf alle“ an den Souverän und gelobt absoluten Gehorsam. Die einzigen Vorbehalte gegen dieses Gehorsamsversprechen können im Namen der Selbsterhaltung sein, die es zu einem vernünftigen Schritt gemacht hat, und so kann sich der Einzelne nur dann als nicht mehr an den Zivilbund gebunden betrachten, wenn sein Leben bedroht ist direkt vom Souverän; jede Verpflichtung, mich nicht zu verteidigen, ist ungültig.82 In allen anderen Fällen verhält sich das Individuum nicht nur falsch, sondern töricht, wenn es ungehorsam ist – nicht weil die Folgen eines bestimmten Ungehorsams eine Rückkehr zum natürlichen Zustand der Menschheit sein müssen (wie es Flathman tun würde glauben wir)83, sondern weil die einzige Alternative zum natürlichen Zustand der Menschheit der bürgerliche Gehorsamsbund ist, eine allgemeine Regel, die alle Sonderfälle umfasst. Es berührt auch nicht, dass dieser hypothetische Vertrag unter Zwang geschlossen wurde (insbesondere aus Angst vor den Gefahren und der Unsicherheit des natürlichen Zustands der Menschheit), wobei solche Erwägungen als irrelevant zurückgewiesen werden.84</w:t>
      </w:r>
    </w:p>
    <w:p>
      <w:pPr>
        <w:pStyle w:val="Flietext21"/>
        <w:keepNext w:val="false"/>
        <w:keepLines w:val="false"/>
        <w:widowControl w:val="false"/>
        <w:numPr>
          <w:ilvl w:val="0"/>
          <w:numId w:val="10"/>
        </w:numPr>
        <w:shd w:val="clear" w:color="auto" w:fill="auto"/>
        <w:tabs>
          <w:tab w:val="clear" w:pos="720"/>
          <w:tab w:val="left" w:pos="538" w:leader="none"/>
        </w:tabs>
        <w:bidi w:val="0"/>
        <w:spacing w:lineRule="auto" w:line="213" w:before="0" w:after="200"/>
        <w:ind w:left="0" w:right="0" w:firstLine="280"/>
        <w:jc w:val="both"/>
        <w:rPr/>
      </w:pPr>
      <w:r>
        <w:rPr>
          <w:color w:val="000000"/>
          <w:spacing w:val="0"/>
          <w:w w:val="100"/>
          <w:shd w:fill="auto" w:val="clear"/>
          <w:lang w:val="en-US" w:eastAsia="en-US" w:bidi="en-US"/>
        </w:rPr>
        <w:t>HM. Drucker, „Nur Analogien? Der Platz von Analogien im politischen Denken“, in Political Studies, Bd. XVIII Nr. 4 (Dezember 1969), S. 452.</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Wie soll man nun ein Argument angreifen, das so kühn und energisch ist wie das von Hobbes? Die offensichtlichste Linie, die historische Gültigkeit des Vertrags in Frage zu stellen, offenbart einfach ein mangelndes Verständnis des Projekts. Der Hobbes'sche Vertrag ist nicht historisch, sondern logisch, und er ist eine Ableitung aus dem primären Naturgesetz, kein willkürlicher Akt.</w:t>
      </w:r>
    </w:p>
    <w:p>
      <w:pPr>
        <w:pStyle w:val="Flietext1"/>
        <w:keepNext w:val="false"/>
        <w:keepLines w:val="false"/>
        <w:widowControl w:val="false"/>
        <w:shd w:val="clear" w:color="auto" w:fill="auto"/>
        <w:bidi w:val="0"/>
        <w:spacing w:before="0" w:after="260"/>
        <w:ind w:left="0" w:right="0" w:firstLine="280"/>
        <w:jc w:val="both"/>
        <w:rPr/>
      </w:pPr>
      <w:r>
        <w:rPr>
          <w:color w:val="000000"/>
          <w:spacing w:val="0"/>
          <w:w w:val="100"/>
          <w:shd w:fill="auto" w:val="clear"/>
          <w:lang w:val="en-US" w:eastAsia="en-US" w:bidi="en-US"/>
        </w:rPr>
        <w:t>Der historische Angriff könnte mit anderen Begriffen geebnet werden. Da Introspektion von Natur aus die kulturgebundenste intellektuelle Aktivität ist, wurde oft darauf hingewiesen, dass Hobbes' Vorstellung vom natürlichen Menschen selbst im Wesentlichen zeitgebunden ist. Wie Hill es ausdrückt: „(n)natürlicher Mensch war ‚bürgerlicher Mensch ohne Polizisten.“85 Der Hobbes'sche natürliche Mensch besitzt Sprache, macht Versprechungen, sucht die Wertschätzung seiner Mitmenschen und entwickelt einen Ruf für Zuverlässigkeit oder das Gegenteil. Er ist bereits ein Produkt der Gesellschaft – nicht der Mensch vor der Gesellschaft oder der Mensch, wie er wäre, wenn es die Gesellschaft nie gegeben hätte, sondern nur der Mensch in der Gesellschaft, der plötzlich ohne die Zwänge der gesellschaftlichen Bedingungen operiert.</w:t>
      </w:r>
    </w:p>
    <w:p>
      <w:pPr>
        <w:pStyle w:val="Flietext21"/>
        <w:keepNext w:val="false"/>
        <w:keepLines w:val="false"/>
        <w:widowControl w:val="false"/>
        <w:numPr>
          <w:ilvl w:val="0"/>
          <w:numId w:val="10"/>
        </w:numPr>
        <w:shd w:val="clear" w:color="auto" w:fill="auto"/>
        <w:tabs>
          <w:tab w:val="clear" w:pos="720"/>
          <w:tab w:val="left" w:pos="553" w:leader="none"/>
        </w:tabs>
        <w:bidi w:val="0"/>
        <w:spacing w:lineRule="auto" w:line="189" w:before="0" w:after="0"/>
        <w:ind w:left="0" w:right="0" w:firstLine="240"/>
        <w:jc w:val="left"/>
        <w:rPr/>
      </w:pPr>
      <w:r>
        <w:rPr>
          <w:color w:val="000000"/>
          <w:spacing w:val="0"/>
          <w:w w:val="100"/>
          <w:shd w:fill="auto" w:val="clear"/>
          <w:lang w:val="en-US" w:eastAsia="en-US" w:bidi="en-US"/>
        </w:rPr>
        <w:t>Hobbes, Leviathan, Teil I, Kapitel 14, S. 199</w:t>
      </w:r>
    </w:p>
    <w:p>
      <w:pPr>
        <w:pStyle w:val="Flietext21"/>
        <w:keepNext w:val="false"/>
        <w:keepLines w:val="false"/>
        <w:widowControl w:val="false"/>
        <w:numPr>
          <w:ilvl w:val="0"/>
          <w:numId w:val="10"/>
        </w:numPr>
        <w:shd w:val="clear" w:color="auto" w:fill="auto"/>
        <w:tabs>
          <w:tab w:val="clear" w:pos="720"/>
          <w:tab w:val="left" w:pos="553" w:leader="none"/>
        </w:tabs>
        <w:bidi w:val="0"/>
        <w:spacing w:lineRule="auto" w:line="189" w:before="0" w:after="0"/>
        <w:ind w:left="0" w:right="0" w:firstLine="240"/>
        <w:jc w:val="left"/>
        <w:rPr/>
      </w:pPr>
      <w:r>
        <w:rPr>
          <w:color w:val="000000"/>
          <w:spacing w:val="0"/>
          <w:w w:val="100"/>
          <w:shd w:fill="auto" w:val="clear"/>
          <w:lang w:val="en-US" w:eastAsia="en-US" w:bidi="en-US"/>
        </w:rPr>
        <w:t>Flathman, Politische Verpflichtung, p. 238.</w:t>
      </w:r>
    </w:p>
    <w:p>
      <w:pPr>
        <w:pStyle w:val="Flietext21"/>
        <w:keepNext w:val="false"/>
        <w:keepLines w:val="false"/>
        <w:widowControl w:val="false"/>
        <w:numPr>
          <w:ilvl w:val="0"/>
          <w:numId w:val="10"/>
        </w:numPr>
        <w:shd w:val="clear" w:color="auto" w:fill="auto"/>
        <w:tabs>
          <w:tab w:val="clear" w:pos="720"/>
          <w:tab w:val="left" w:pos="553" w:leader="none"/>
        </w:tabs>
        <w:bidi w:val="0"/>
        <w:spacing w:lineRule="auto" w:line="189" w:before="0" w:after="0"/>
        <w:ind w:left="0" w:right="0" w:firstLine="240"/>
        <w:jc w:val="left"/>
        <w:rPr/>
      </w:pPr>
      <w:r>
        <w:rPr>
          <w:color w:val="000000"/>
          <w:spacing w:val="0"/>
          <w:w w:val="100"/>
          <w:shd w:fill="auto" w:val="clear"/>
          <w:lang w:val="en-US" w:eastAsia="en-US" w:bidi="en-US"/>
        </w:rPr>
        <w:t>Hobbes, Leviathan, Teil I, Kapitel 14, S. 198.</w:t>
      </w:r>
    </w:p>
    <w:p>
      <w:pPr>
        <w:pStyle w:val="Flietext21"/>
        <w:keepNext w:val="false"/>
        <w:keepLines w:val="false"/>
        <w:widowControl w:val="false"/>
        <w:numPr>
          <w:ilvl w:val="0"/>
          <w:numId w:val="10"/>
        </w:numPr>
        <w:shd w:val="clear" w:color="auto" w:fill="auto"/>
        <w:tabs>
          <w:tab w:val="clear" w:pos="720"/>
          <w:tab w:val="left" w:pos="553" w:leader="none"/>
        </w:tabs>
        <w:bidi w:val="0"/>
        <w:spacing w:lineRule="auto" w:line="189" w:before="0" w:after="200"/>
        <w:ind w:left="0" w:right="0" w:firstLine="240"/>
        <w:jc w:val="left"/>
        <w:rPr/>
      </w:pPr>
      <w:r>
        <w:rPr>
          <w:color w:val="000000"/>
          <w:spacing w:val="0"/>
          <w:w w:val="100"/>
          <w:shd w:fill="auto" w:val="clear"/>
          <w:lang w:val="en-US" w:eastAsia="en-US" w:bidi="en-US"/>
        </w:rPr>
        <w:t>Hill, Puritanismus und die Revolution, S. 279.</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Die naheliegende Antwort auf diese Kritik ist die Frage, was angesichts von Hobbes Absicht noch zu erwarten wäre? Der Naturzustand ist ein hypothetisches Konstrukt, keine Geschichtstheorie; es geht nicht darum, den Menschen zu sagen, wie sie eigentlich aus dem Naturzustand in die Zivilgesellschaft gekommen sind, sondern ihnen sowohl den Wert als auch den Preis der Zivilgesellschaft zu erklären. Der Hobbes’sche Naturmensch ist nicht der Indianer, sondern der Londoner Cockney, wenn die Agenten des Königs streiken, und der Zweck der Beschreibung all dessen, was dem natürlichen Zustand der Menschheit fehlt, ist nicht, möglichen Gewinn für einen hypothetischen Wilden zu beschreiben, sondern aufzuzeigen notwendige Verluste für einige kurzsichtige Engländer. Hobbes ist insofern zeitgebunden, als er historisch engagiert war, aber weil seine Methode eine Reduktion auf Grundprinzipien und Ableitung weiterer Prinzipien daraus war, besitzt seine Argumentation als Ganzes Gültigkeit, solange die Prämissen der inhärenten natürlichen individuellen Selbstsucht sein können abgeleitet von irgendwelchen Prinzipien oder abgeleitet von den tatsächlichen Operationen irgendeines sozialen Systems – natürlich nicht notwendigerweise als eine ausnahmslose Beschreibung jeglichen menschlichen Verhaltens (Menschen können sich in ihrem eigenen Interesse genauso irren wie in mathematischen Berechnungen), sondern nur als ein allgemein gültiges Rezept für rationales Verhalten.</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vertAlign w:val="superscript"/>
          <w:lang w:val="en-US" w:eastAsia="en-US" w:bidi="en-US"/>
        </w:rPr>
        <w:t>Genauer gesagt wurde von Marxisten wie Macpherson und Hill das Argument entwickelt, dass Hobbes ein früher Philosoph der „Marktgesellschaft“ war – sprich „Kapitalismus“ – und am besten in einem solchen Licht gesehen werden kann. Der Hinweis darauf ist, dass der natürliche Mensch „nicht nur zu leben, sondern gut oder bequem zu leben“ wünscht,86 dass der Hobbessche Mensch anders als der mittelalterliche Mensch mit den vermittelnden Einflüssen zahlreicher Gruppen – Kirche, Zunft, Stadt – dem Staat allein und allein gegenübersteht isoliert, wodurch das Bedürfnis der bürgerlich-kapitalistischen Gesellschaft nach dem atomaren und mobilen Individuum befriedigt wird, und dass Hobbes Arbeit als Ware ansah.:87 Hill richtet seinen Angriff auf das offensichtlichere Ziel – der Staat ist nicht nur auf Vertrag gegründet, sondern er ist es auch als Garant für Verträge zu fungieren.88 Andererseits – und das sind beides wichtige Punkte – ist der von Hobbes angestrebte unanfechtbare und absolute Staat weit entfernt von der Staatstheorie, die die bürgerlich-kapitalistische Gesellschaft tendenziell charakterisiert hat Die Doktrin, „dass jeder Privatmann ein absolutes Eigentum an seinen Gütern hat, wie es das Recht des Souveräns ausschließt“ (was ein wichtiger Teil des Kapitalismus zu sein scheint), wird als gefährliche Idee abgelehnt, „die dazu tendiert Auflösung eines Commonwealth.“89 Wenn Macpherson argumentieren will, dass einige der Themen in Hobbes in einem Maße mit der „Marktgesellschaft“ vereinbar sind, wie es bei früheren Denkern nicht der Fall war, dann ist dies durchaus berechtigt90 und bietet eine Lösung für das Problem der Platzierung Hobbes im Verhältnis zu anderen Denkern. Wenn er andererseits zu sagen versucht, Hobbes habe die Entstehung einer bürgerlichen Ordnung gesehen und sich beeilt, sie zu rationalisieren und zu verteidigen,91 (was Brian Barry als „Essay in marxistischer Psychoanalyse“ bezeichnet),92 ist das a andere Frage, und eine, bei der die Beweise etwas gespalten sind. Auf jeden Fall macht dieses Argument, wie Macpherson selbst am deutlichsten macht, die Position von Hobbes für eine Bewertung des Problems der Verpflichtung in zeitgenössischen westlichen demokratischen Gesellschaften relevanter, nicht weniger relevant, insofern sie sich selbst verkörpern oder zu verkörpern versuchen oder sich als solche verstehen Sie verkörpern die Prinzipien der Marktgesellschaft. 93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21"/>
        <w:keepNext w:val="false"/>
        <w:keepLines w:val="false"/>
        <w:widowControl w:val="false"/>
        <w:numPr>
          <w:ilvl w:val="0"/>
          <w:numId w:val="11"/>
        </w:numPr>
        <w:shd w:val="clear" w:color="auto" w:fill="auto"/>
        <w:tabs>
          <w:tab w:val="clear" w:pos="720"/>
          <w:tab w:val="left" w:pos="573" w:leader="none"/>
        </w:tabs>
        <w:bidi w:val="0"/>
        <w:spacing w:lineRule="auto" w:line="192" w:before="0" w:after="0"/>
        <w:ind w:left="0" w:right="0" w:firstLine="260"/>
        <w:jc w:val="both"/>
        <w:rPr/>
      </w:pPr>
      <w:r>
        <w:rPr>
          <w:i/>
          <w:iCs/>
          <w:color w:val="000000"/>
          <w:spacing w:val="0"/>
          <w:w w:val="100"/>
          <w:shd w:fill="auto" w:val="clear"/>
          <w:lang w:val="en-US" w:eastAsia="en-US" w:bidi="en-US"/>
        </w:rPr>
        <w:t>Macpherson, Possessiver Individualismus</w:t>
      </w:r>
    </w:p>
    <w:p>
      <w:pPr>
        <w:pStyle w:val="Flietext21"/>
        <w:keepNext w:val="false"/>
        <w:keepLines w:val="false"/>
        <w:widowControl w:val="false"/>
        <w:numPr>
          <w:ilvl w:val="0"/>
          <w:numId w:val="12"/>
        </w:numPr>
        <w:shd w:val="clear" w:color="auto" w:fill="auto"/>
        <w:tabs>
          <w:tab w:val="clear" w:pos="720"/>
          <w:tab w:val="left" w:pos="538" w:leader="none"/>
        </w:tabs>
        <w:bidi w:val="0"/>
        <w:spacing w:lineRule="auto" w:line="228" w:before="0" w:after="0"/>
        <w:ind w:left="0" w:right="0" w:firstLine="260"/>
        <w:jc w:val="both"/>
        <w:rPr/>
      </w:pPr>
      <w:r>
        <w:rPr>
          <w:color w:val="000000"/>
          <w:spacing w:val="0"/>
          <w:w w:val="100"/>
          <w:shd w:fill="auto" w:val="clear"/>
          <w:lang w:val="en-US" w:eastAsia="en-US" w:bidi="en-US"/>
        </w:rPr>
        <w:t>Letwin, „The Economic Foundations of Hobbes' Politics“, in Cranston und Peters, op.cit. P. 153, wendet ein, dass das Zitat, auf das sich Macpherson für diese Behauptung stützt, aus dem Kontext gerissen ist und ein ziemlich schwaches Blatt liefert, auf das man sich stützen kann, aber dieses Argument ist für Macphersons These am wichtigsten.</w:t>
      </w:r>
    </w:p>
    <w:p>
      <w:pPr>
        <w:pStyle w:val="Flietext21"/>
        <w:keepNext w:val="false"/>
        <w:keepLines w:val="false"/>
        <w:widowControl w:val="false"/>
        <w:numPr>
          <w:ilvl w:val="0"/>
          <w:numId w:val="12"/>
        </w:numPr>
        <w:shd w:val="clear" w:color="auto" w:fill="auto"/>
        <w:tabs>
          <w:tab w:val="clear" w:pos="720"/>
          <w:tab w:val="left" w:pos="573" w:leader="none"/>
        </w:tabs>
        <w:bidi w:val="0"/>
        <w:spacing w:lineRule="auto" w:line="192" w:before="0" w:after="0"/>
        <w:ind w:left="0" w:right="0" w:firstLine="260"/>
        <w:jc w:val="both"/>
        <w:rPr/>
      </w:pPr>
      <w:r>
        <w:rPr>
          <w:i/>
          <w:iCs/>
          <w:color w:val="000000"/>
          <w:spacing w:val="0"/>
          <w:w w:val="100"/>
          <w:shd w:fill="auto" w:val="clear"/>
          <w:lang w:val="en-US" w:eastAsia="en-US" w:bidi="en-US"/>
        </w:rPr>
        <w:t>Hill, Puritanismus und Revolution, S. 275 und Passim.</w:t>
      </w:r>
    </w:p>
    <w:p>
      <w:pPr>
        <w:pStyle w:val="Flietext21"/>
        <w:keepNext w:val="false"/>
        <w:keepLines w:val="false"/>
        <w:widowControl w:val="false"/>
        <w:numPr>
          <w:ilvl w:val="0"/>
          <w:numId w:val="12"/>
        </w:numPr>
        <w:shd w:val="clear" w:color="auto" w:fill="auto"/>
        <w:tabs>
          <w:tab w:val="clear" w:pos="720"/>
          <w:tab w:val="left" w:pos="573" w:leader="none"/>
        </w:tabs>
        <w:bidi w:val="0"/>
        <w:spacing w:lineRule="auto" w:line="192" w:before="0" w:after="0"/>
        <w:ind w:left="0" w:right="0" w:firstLine="260"/>
        <w:jc w:val="both"/>
        <w:rPr/>
      </w:pPr>
      <w:r>
        <w:rPr>
          <w:color w:val="000000"/>
          <w:spacing w:val="0"/>
          <w:w w:val="100"/>
          <w:shd w:fill="auto" w:val="clear"/>
          <w:lang w:val="en-US" w:eastAsia="en-US" w:bidi="en-US"/>
        </w:rPr>
        <w:t>Hobbes, Leviathan, Teil II, Kapitel 29, S. 367</w:t>
      </w:r>
    </w:p>
    <w:p>
      <w:pPr>
        <w:pStyle w:val="Flietext21"/>
        <w:keepNext w:val="false"/>
        <w:keepLines w:val="false"/>
        <w:widowControl w:val="false"/>
        <w:numPr>
          <w:ilvl w:val="0"/>
          <w:numId w:val="12"/>
        </w:numPr>
        <w:shd w:val="clear" w:color="auto" w:fill="auto"/>
        <w:tabs>
          <w:tab w:val="clear" w:pos="720"/>
          <w:tab w:val="left" w:pos="534" w:leader="none"/>
        </w:tabs>
        <w:bidi w:val="0"/>
        <w:spacing w:before="0" w:after="0"/>
        <w:ind w:left="0" w:right="0" w:firstLine="260"/>
        <w:jc w:val="both"/>
        <w:rPr/>
      </w:pPr>
      <w:r>
        <w:rPr>
          <w:color w:val="000000"/>
          <w:spacing w:val="0"/>
          <w:w w:val="100"/>
          <w:shd w:fill="auto" w:val="clear"/>
          <w:lang w:val="en-US" w:eastAsia="en-US" w:bidi="en-US"/>
        </w:rPr>
        <w:t>obwohl natürlich das Spiel, aus Hobbes eine Handvoll „wirklich“ wichtiger Prinzipien zu extrahieren, eines ist, das viele Spieler haben kann, und es ist manchmal schwer zu glauben, dass Warrender und Macpherson über dieselben Hobbes schreiben.</w:t>
      </w:r>
    </w:p>
    <w:p>
      <w:pPr>
        <w:pStyle w:val="Flietext21"/>
        <w:keepNext w:val="false"/>
        <w:keepLines w:val="false"/>
        <w:widowControl w:val="false"/>
        <w:numPr>
          <w:ilvl w:val="0"/>
          <w:numId w:val="12"/>
        </w:numPr>
        <w:shd w:val="clear" w:color="auto" w:fill="auto"/>
        <w:tabs>
          <w:tab w:val="clear" w:pos="720"/>
          <w:tab w:val="left" w:pos="538" w:leader="none"/>
        </w:tabs>
        <w:bidi w:val="0"/>
        <w:spacing w:lineRule="auto" w:line="220" w:before="0" w:after="0"/>
        <w:ind w:left="0" w:right="0" w:firstLine="260"/>
        <w:jc w:val="both"/>
        <w:rPr/>
      </w:pPr>
      <w:r>
        <w:rPr>
          <w:i/>
          <w:iCs/>
          <w:color w:val="000000"/>
          <w:spacing w:val="0"/>
          <w:w w:val="100"/>
          <w:shd w:fill="auto" w:val="clear"/>
          <w:lang w:val="en-US" w:eastAsia="en-US" w:bidi="en-US"/>
        </w:rPr>
        <w:t>Macpherson argumentiert auch, dass die englische Gesellschaft zur Zeit von Hobbes tatsächlich bereits eine Marktgesellschaft war; diese Frage ist natürlich logisch trennbar und wurde beispielsweise von Letwin, op.cit., passim, angegriffen.</w:t>
      </w:r>
    </w:p>
    <w:p>
      <w:pPr>
        <w:pStyle w:val="Flietext21"/>
        <w:keepNext w:val="false"/>
        <w:keepLines w:val="false"/>
        <w:widowControl w:val="false"/>
        <w:numPr>
          <w:ilvl w:val="0"/>
          <w:numId w:val="12"/>
        </w:numPr>
        <w:shd w:val="clear" w:color="auto" w:fill="auto"/>
        <w:tabs>
          <w:tab w:val="clear" w:pos="720"/>
          <w:tab w:val="left" w:pos="573" w:leader="none"/>
        </w:tabs>
        <w:bidi w:val="0"/>
        <w:spacing w:lineRule="auto" w:line="192" w:before="0" w:after="200"/>
        <w:ind w:left="0" w:right="0" w:firstLine="260"/>
        <w:jc w:val="both"/>
        <w:rPr/>
      </w:pPr>
      <w:r>
        <w:rPr>
          <w:color w:val="000000"/>
          <w:spacing w:val="0"/>
          <w:w w:val="100"/>
          <w:shd w:fill="auto" w:val="clear"/>
          <w:lang w:val="en-US" w:eastAsia="en-US" w:bidi="en-US"/>
        </w:rPr>
        <w:t>Brian Barry, „Warrender and his Critics“, in Cranston &amp; Peters, op.cit., p. 49 fn.</w:t>
      </w:r>
    </w:p>
    <w:p>
      <w:pPr>
        <w:pStyle w:val="Flietext1"/>
        <w:keepNext w:val="false"/>
        <w:keepLines w:val="false"/>
        <w:widowControl w:val="false"/>
        <w:shd w:val="clear" w:color="auto" w:fill="auto"/>
        <w:bidi w:val="0"/>
        <w:spacing w:before="0" w:after="0"/>
        <w:ind w:left="0" w:right="0" w:firstLine="260"/>
        <w:jc w:val="both"/>
        <w:rPr/>
      </w:pPr>
      <w:r>
        <w:rPr>
          <w:color w:val="000000"/>
          <w:spacing w:val="0"/>
          <w:w w:val="100"/>
          <w:shd w:fill="auto" w:val="clear"/>
          <w:lang w:val="en-US" w:eastAsia="en-US" w:bidi="en-US"/>
        </w:rPr>
        <w:t>Ein erfolgversprechenderer Angriff kann innerhalb des Hobbes'schen Rahmens geebnet werden. Wenn Plato (in Republik) die entscheidende Frage der Politik auf „Wer sollte herrschen?“ reduziert, hat Hobbes sie in Leviathan noch weiter auf die Aussage „dass es Herrschaft geben sollte“ zusammengezogen. Dies ist nur deshalb eine programmatische Empfehlung, weil er eine gemeinsame Macht über alles als Voraussetzung verbindlicher oder gültiger Bündnisse ansieht, die die einzige gangbare Alternative zum natürlichen Zustand der Menschheit darstellt. Mit anderen Worten, Hobbes ist ein Opfer des Trugschlusses der falschen Alternative. Indem er das politische Leben auf die Wahl zwischen dem natürlichen Zustand der Menschheit und dem Gehorsam gegenüber dem bestehenden Souverän reduziert, empfiehlt er ohne Zögern letzteres; Die Wahl ist so stark, die Alternative so abscheulich, dass totaler, bedingungsloser Gehorsam die einzige rationale Option ist. Weil die Wahl so krass dargestellt wird, weil darauf bestanden wird, dass es zwischen Absolutismus und Chaos keine Alternative auf dem Mittelweg gibt, hat Hill völlig recht, wenn er die Glorious Revolution von 1688 als Widerlegung von Hobbes zitiert, in einer Weise, wie es 1641 nicht war, 94, denn nicht nur der einzelne Herrscher, sondern die gesamte Rechtsgrundlage der Monarchie wurde mit massenhafter Unterstützung der Bevölkerung und minimaler Gewalt transformiert. Wenn ein solcher Widerstand oder eine solche Kritik am Souverän nur manchmal und nicht unbedingt immer systemisch dysfunktional ist, dann kann die Hobbes'sche Empfehlung des unbeirrbaren Gehorsams nur hypothetisch oder bedingt, nicht kategorisch akzeptiert werden.</w:t>
      </w:r>
    </w:p>
    <w:p>
      <w:pPr>
        <w:pStyle w:val="Flietext1"/>
        <w:keepNext w:val="false"/>
        <w:keepLines w:val="false"/>
        <w:widowControl w:val="false"/>
        <w:shd w:val="clear" w:color="auto" w:fill="auto"/>
        <w:bidi w:val="0"/>
        <w:spacing w:before="0" w:after="260"/>
        <w:ind w:left="0" w:right="0" w:firstLine="260"/>
        <w:jc w:val="both"/>
        <w:rPr/>
      </w:pPr>
      <w:r>
        <w:rPr>
          <w:color w:val="000000"/>
          <w:spacing w:val="0"/>
          <w:w w:val="100"/>
          <w:shd w:fill="auto" w:val="clear"/>
          <w:lang w:val="en-US" w:eastAsia="en-US" w:bidi="en-US"/>
        </w:rPr>
        <w:t>Wenn es folglich einen kleinen Vorsprung zwischen den beiden Extremen Absolutismus und Chaos gibt, dann gibt es etwas Raum für Kritik und sogar Widerstand gegen den Souverän. Insofern es ideelle Aspekte von Hobbes' eigenem Konstrukt gibt – weniger der Souverän, der Unschuldige nicht bestraft568, als der Souverän, der alle Verträge durchsetzt – ist er selbst bereits auf diesen Sims getreten; und soweit es die Funktion des Souveräns zu sein scheint, nicht nur die physische Sicherheit seiner Untertanen zu fördern, sondern auch einen positiveren Standard,569 wäre es Aufgabe der Bürger, zu beurteilen, wie nahe ihr Souverän an einer optimalen Befriedigung dieser Untertanen war Anforderungen. Trotz all seiner Betonung des exklusiven Charakters der Alternativen scheint Hobbes selbst gelegentlich diesen schmalen Weg zu gehen, und 1688 tat es eine ganze Nation. Zugegeben, diese Option mag eine Ausnahme sein, und taktische Erwägungen würden ihrer Verwendung eine sehr strenge Verfahrensethik auferlegen, aber der ganze Sinn des Hobbismus bestand darin, diese Option insgesamt und nicht nur teilweise auszuschließen.</w:t>
      </w:r>
    </w:p>
    <w:p>
      <w:pPr>
        <w:pStyle w:val="Flietext21"/>
        <w:keepNext w:val="false"/>
        <w:keepLines w:val="false"/>
        <w:widowControl w:val="false"/>
        <w:numPr>
          <w:ilvl w:val="0"/>
          <w:numId w:val="12"/>
        </w:numPr>
        <w:shd w:val="clear" w:color="auto" w:fill="auto"/>
        <w:tabs>
          <w:tab w:val="clear" w:pos="720"/>
          <w:tab w:val="left" w:pos="553" w:leader="none"/>
        </w:tabs>
        <w:bidi w:val="0"/>
        <w:spacing w:lineRule="auto" w:line="240" w:before="0" w:after="0"/>
        <w:ind w:left="0" w:right="0" w:firstLine="240"/>
        <w:jc w:val="left"/>
        <w:rPr/>
      </w:pPr>
      <w:r>
        <w:rPr>
          <w:color w:val="000000"/>
          <w:spacing w:val="0"/>
          <w:w w:val="100"/>
          <w:shd w:fill="auto" w:val="clear"/>
          <w:lang w:val="en-US" w:eastAsia="en-US" w:bidi="en-US"/>
        </w:rPr>
        <w:t>Macherson, Possessive Individualism, p.13</w:t>
      </w:r>
    </w:p>
    <w:p>
      <w:pPr>
        <w:pStyle w:val="Flietext21"/>
        <w:keepNext w:val="false"/>
        <w:keepLines w:val="false"/>
        <w:widowControl w:val="false"/>
        <w:numPr>
          <w:ilvl w:val="0"/>
          <w:numId w:val="12"/>
        </w:numPr>
        <w:shd w:val="clear" w:color="auto" w:fill="auto"/>
        <w:tabs>
          <w:tab w:val="clear" w:pos="720"/>
          <w:tab w:val="left" w:pos="553" w:leader="none"/>
        </w:tabs>
        <w:bidi w:val="0"/>
        <w:spacing w:before="0" w:after="200"/>
        <w:ind w:left="0" w:right="0" w:firstLine="240"/>
        <w:jc w:val="left"/>
        <w:rPr/>
      </w:pPr>
      <w:r>
        <w:rPr>
          <w:i/>
          <w:iCs/>
          <w:color w:val="000000"/>
          <w:spacing w:val="0"/>
          <w:w w:val="100"/>
          <w:shd w:fill="auto" w:val="clear"/>
          <w:lang w:val="en-US" w:eastAsia="en-US" w:bidi="en-US"/>
        </w:rPr>
        <w:t>Hill, Puritanismus und Revolution</w:t>
      </w:r>
    </w:p>
    <w:p>
      <w:pPr>
        <w:pStyle w:val="Flietext1"/>
        <w:keepNext w:val="false"/>
        <w:keepLines w:val="false"/>
        <w:widowControl w:val="false"/>
        <w:shd w:val="clear" w:color="auto" w:fill="auto"/>
        <w:bidi w:val="0"/>
        <w:spacing w:before="0" w:after="0"/>
        <w:ind w:left="0" w:right="0" w:firstLine="260"/>
        <w:jc w:val="both"/>
        <w:rPr/>
      </w:pPr>
      <w:r>
        <w:rPr>
          <w:color w:val="000000"/>
          <w:spacing w:val="0"/>
          <w:w w:val="100"/>
          <w:shd w:fill="auto" w:val="clear"/>
          <w:lang w:val="en-US" w:eastAsia="en-US" w:bidi="en-US"/>
        </w:rPr>
        <w:t>Es ist offensichtlich, dass das Argument für die Notwendigkeit des absoluten Souveräns, dem fraglos gehorcht wird, weitgehend von seinen Vorstellungen von Bund und Gesetz abhängt. Vereinbarungen sind dann und nur dann bindend, wenn es eine gemeinsame Macht über alles gibt, die ausreicht, um die Erfüllung zu erzwingen. Aus diesen Gründen verwirft er die Vorstellungen einer gemischten Regierung568, einer begrenzten Regierung569 und allgemeiner die Idee, dass es einen Vertrag zwischen dem Souverän und dem Volk geben kann570 (im Gegensatz dazu, dass der Souverän nur ein Empfänger von Befugnissen im Rahmen eines Vertrags ist zwischen Bürgern) ; definitionsgemäß ist der Souverän derjenige, der keine „gemeinsame Macht“ über sich hat. Unter Berufung auf seine Definition von Recht als Befehl des Souveräns571 lehnt er in ähnlicher Weise den Begriff der Rechtsstaatlichkeit ab – wie könnte der Souverän durch seine eigenen Befehle eingeschränkt oder gebunden sein?572 Aber es gibt Raum für ernsthafte Einwände gegen dieses Argument. Das Problem der Befehlstheorie des Rechts im Allgemeinen und daher von Hobbes im Besonderen besteht darin, dass sie das Recht letztendlich nicht so sehr im Sinne des Befehls des Souveräns definiert (obwohl dies die ursprüngliche Formulierung davon ist), sondern vielmehr im Sinne von das, was tatsächlich durchgesetzt wird, wobei der Befehl des Souveräns aus dieser Tatsache der Durchsetzung abgeleitet und nicht unbedingt direkt eingehalten wird. Wie Fuller von Austin bemerkt,573 kann der Rechtspositivist am Ende gar nicht den Souverän finden, sondern nur Gesetze, die durchgesetzt werden. Die künstliche Natur des Befehls des Souveräns zeigt sich in der Behandlung von Gewohnheiten, wo ein solcher Befehl aus völligem Schweigen geschlossen werden kann.574 Hobbes kann höchstens als Definiendum des Rechts streng fordern, dass er durchgesetzt wird ausreichende Macht, um Gehorsam zu erzwingen, wobei die notwendige Identifizierung von Gesetz und Vollstreckung mit einer einzigen Person ein Merkmal seiner Analyse ist, das weniger Vereinfachung als Übervereinfachung ist. Aus den nackten Knochen des Hobbismus (natürlicher Zustand der Menschheit; notwendige Entfremdung von Rechten zur Erlangung von Sicherheit; Recht definiert in Begriffen der Durchsetzungsfähigkeit) könnte man genauso gut eine Analysemethode ableiten, die den Souverän über den stellen könnte oder nicht Körperschaft (dieser Vorschlag wird von Maritain so bedauert)95 96 97 98 99 100 101 102 103 575, könnte aber scharf zwischen dieser „souveränen“ Macht und dem Individuum unterscheiden, an das Befugnisse in Erfüllung seiner Pflichten delegiert werden. Mit anderen Worten, man könnte den Begriff des Souveräns als eine fiktive oder künstliche Person105 einführen – ein Wesen wie der angenommene Vertrag selbst oder „als ob“ – und somit einen Begriff der „Rechtsstaatlichkeit“ oder „begrenzten Herrschaft“ einführen. Es ist die Verschmelzung von Amt und Amtsträger, die den Hobbismus zum Rezept für den Absolutismus macht; die streng aufrechterhaltene Trennung zwischen beiden lässt ideelle Aspekte und verfassungsrechtliche Erwägungen zu. Die vertragschließenden Personen können als Abtretung ihrer Rechte und Befugnisse an eine künstliche Person und nicht an eine bestimmte Person angesehen werden, und der Prinz muss nicht mit dem so definierten Souverän identifiziert werden, sondern könnte vielmehr als eine Partei des Vertrags angesehen werden, der eine besondere Bedeutung zukommt Befugnisse, wobei diese Befugnisse zufällig sind und in keiner Weise seinen Status als Vertragspartei ändern. Dies ist genau die Schlussfolgerung, zu der man geführt wird, wenn man sein zweites Naturgesetz ernst nimmt, da es für alle Individuen (einschließlich des Souveräns) gilt – das heißt, wenn man den Vertrag von Kapitel 14 und nicht den von Kapitel 17 betrachtet.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Hobbes Theorie der Gruppenpsychologie ist ein wichtiger Teil seiner Argumentation. Eine Gruppe ist eine Gruppe kraft eines Führers, der für die Gruppe spricht und Macht über sie ausübt.106 Die Gruppe ist ein Artefakt des Führers, nicht umgekehrt; die Eliminierung eines solchen Führers ist gleichzeitig die Zerstörung und Auflösung der Gruppe. Diese Theorie in Frage zu stellen, hat wichtige Implikationen. Wenn die Gruppe nur ein Artefakt des Willens eines Führers ist, dann ist es offensichtlich so, dass alle von dieser Gruppe entwickelten Standards – moralische oder andere – nur aus dem Willen dieses Führers hervorgehen können, und Ethik reduziert sich auf einfachen Nominalismus. Wenn wir jedoch eine solche Reduzierung des Charakters einer Gruppe in Frage stellen, folgt die Schlussfolgerung nicht mehr; es mag immer noch so sein, dass nur eine „gemeinsame Macht über alles“ eine stabile Zusammenarbeit zwischen den Einzelnen ermöglichen kann, aber dies ist nicht dasselbe wie die Reduzierung der Gruppe auf den Führer, der die gemeinsame Macht ist.</w:t>
      </w:r>
    </w:p>
    <w:p>
      <w:pPr>
        <w:pStyle w:val="Flietext1"/>
        <w:keepNext w:val="false"/>
        <w:keepLines w:val="false"/>
        <w:widowControl w:val="false"/>
        <w:shd w:val="clear" w:color="auto" w:fill="auto"/>
        <w:bidi w:val="0"/>
        <w:spacing w:before="0" w:after="280"/>
        <w:ind w:left="0" w:right="0" w:firstLine="280"/>
        <w:jc w:val="both"/>
        <w:rPr/>
      </w:pPr>
      <w:r>
        <w:rPr>
          <w:color w:val="000000"/>
          <w:spacing w:val="0"/>
          <w:w w:val="100"/>
          <w:shd w:fill="auto" w:val="clear"/>
          <w:lang w:val="en-US" w:eastAsia="en-US" w:bidi="en-US"/>
        </w:rPr>
        <w:t>(Hobbes verdeckt sich natürlich ständig, indem er wiederholt, dass der Souverän ein Individuum oder eine Gruppe sein kann. Sicherlich würde das Argument, das er gegen eine gemischte Regierung vorbringt – dass es sich nicht um ein Commonwealth, sondern um mehrere unabhängige Fraktionen handelt568 – mit gleicher Kraft gegen die Idee einer gemischten Regierung gelten ein Komitee, das die Souveränität ausübt. Außerdem kann man angesichts seiner Definition einer Gruppe nicht von einer Gruppe sprechen, es sei denn, es gibt einen einzigen Führer, der für diese Gruppe handelt, was allein sie zu einer Einheit macht, in welchem ​​Fall dieses Individuum der Souverän und die Gruppe ist ist eine Fiktion. Die Optionen „Individuum oder Gruppe“ sind kaum mehr als ein Ausweg, falls das Parlament gewinnen sollte, obwohl natürlich auch dort ein parlamentarischer Sieg tatsächlich die Herrschaft eines anderen Individuums bedeutete, nämlich Cromwell. Hobbes hätte dies zweifellos als eine Möglichkeit angesehen Rechtfertigung.)</w:t>
      </w:r>
    </w:p>
    <w:p>
      <w:pPr>
        <w:pStyle w:val="Flietext21"/>
        <w:keepNext w:val="false"/>
        <w:keepLines w:val="false"/>
        <w:widowControl w:val="false"/>
        <w:numPr>
          <w:ilvl w:val="0"/>
          <w:numId w:val="13"/>
        </w:numPr>
        <w:shd w:val="clear" w:color="auto" w:fill="auto"/>
        <w:tabs>
          <w:tab w:val="clear" w:pos="720"/>
          <w:tab w:val="left" w:pos="610" w:leader="none"/>
        </w:tabs>
        <w:bidi w:val="0"/>
        <w:spacing w:lineRule="auto" w:line="213" w:before="0" w:after="0"/>
        <w:ind w:left="0" w:right="0" w:firstLine="280"/>
        <w:jc w:val="both"/>
        <w:rPr/>
      </w:pPr>
      <w:r>
        <w:rPr>
          <w:color w:val="000000"/>
          <w:spacing w:val="0"/>
          <w:w w:val="100"/>
          <w:shd w:fill="auto" w:val="clear"/>
          <w:lang w:val="en-US" w:eastAsia="en-US" w:bidi="en-US"/>
        </w:rPr>
        <w:t>Hobbes selbst verwendet den Ausdruck „künstliche Person“, aber in einem anderen Zusammenhang, und meint damit ein wirklich konkretes Individuum, das jedoch für einen anderen handelt; vgl. Hobbes, Leviathan, Teil I Kap.16.</w:t>
      </w:r>
    </w:p>
    <w:p>
      <w:pPr>
        <w:pStyle w:val="Flietext21"/>
        <w:keepNext w:val="false"/>
        <w:keepLines w:val="false"/>
        <w:widowControl w:val="false"/>
        <w:numPr>
          <w:ilvl w:val="0"/>
          <w:numId w:val="13"/>
        </w:numPr>
        <w:shd w:val="clear" w:color="auto" w:fill="auto"/>
        <w:tabs>
          <w:tab w:val="clear" w:pos="720"/>
          <w:tab w:val="left" w:pos="620" w:leader="none"/>
        </w:tabs>
        <w:bidi w:val="0"/>
        <w:spacing w:lineRule="auto" w:line="213" w:before="0" w:after="200"/>
        <w:ind w:left="0" w:right="0" w:firstLine="280"/>
        <w:jc w:val="both"/>
        <w:rPr/>
      </w:pPr>
      <w:r>
        <w:rPr>
          <w:color w:val="000000"/>
          <w:spacing w:val="0"/>
          <w:w w:val="100"/>
          <w:shd w:fill="auto" w:val="clear"/>
          <w:lang w:val="en-US" w:eastAsia="en-US" w:bidi="en-US"/>
        </w:rPr>
        <w:t>Hobbes, Leviathan Teil I Kap.16; vgl. Teil II Kapitel 26 wendet dies ausdrücklich auf das Commonwealth an.</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Das Ergebnis des Spiels „natürlicher Zustand der Menschheit“ mag durchaus einen absoluten und unbegrenzten Souverän erfordern, aber wenn die Gruppenoperation, die nur unter einer solchen gemeinsamen Macht möglich ist, mehr als die Widerspiegelung des souveränen Willens ist, wird das Ergebnis a sein „Spiel der Zivilgesellschaft“ mit einem anderen Ausgang. Natürlich ist die Tatsache, dass Unachtsamkeit das Spiel wieder auf das unerwünschte Erste zurückverwandeln kann, eine einschränkende Überlegung, aber wenn die Gruppe irgendeine Existenz außerhalb des Willens des Anführers hat (das heißt, wenn der Anführer nur eine Voraussetzung und nicht die Essenz ist der Gruppenzugehörigkeit), dann kann die Gruppe unabhängig voneinander Standards entwickeln, die der Leiter berücksichtigen muss. Dies widerlegt den Hobbismus nicht, aber es relativiert die Vorschrift des Absolutismus, zu der er als seine Schlussfolgerung gelangt ist, weil es die vereinfachende Annahme der Gruppenpsychologie relativiert, die er verwendet hat, um dorthin zu gelangen. (Etwas das Gleiche wird von Herbert Spencer vorgebracht,107 568 aber in einer Weise, die eine rein historische Herangehensweise an den Vertrag suggeriert.)</w:t>
      </w:r>
    </w:p>
    <w:p>
      <w:pPr>
        <w:sectPr>
          <w:footerReference w:type="even" r:id="rId17"/>
          <w:footerReference w:type="default" r:id="rId18"/>
          <w:type w:val="nextPage"/>
          <w:pgSz w:w="12240" w:h="15840"/>
          <w:pgMar w:left="1486" w:right="1486" w:gutter="0" w:header="0" w:top="1433" w:footer="825" w:bottom="1253"/>
          <w:pgNumType w:fmt="decimal"/>
          <w:formProt w:val="false"/>
          <w:textDirection w:val="lrTb"/>
          <w:docGrid w:type="default" w:linePitch="360" w:charSpace="0"/>
        </w:sect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Die Hobbes'sche Lösung ist im Grunde nur eine halbe Lösung und kann nur bestehen, wenn sie durch den Irrtum der falschen Alternative unterstützt wird. Die Betonung des Werts von Sicherheit und ihrer möglichen Fragilität sowie das Beharren auf einer strikten Trennung zwischen einfacher Sicherheit und der Förderung eines Wertesystems sind Elemente von dauerhaftem Wert im Hobbismus, und diese Elemente werden in a verwendet konstruktivere Phase dieses Vorhabens. Jedoch ohne die Unterstützung des Trugschlusses der falschen Alternative liefert das Argument kein spezifisches vorbeugendes politisches Rezept, sondern nur eine Rechtfertigung für die Politik selbst; Zu sagen, das Problem der Politik sei das Problem der Ordnung, eröffnet die Diskussion nur, schließt sie aber nicht ab. Damit löst Hobbes das Problem der politischen Verpflichtung nicht, obwohl er die Diskussion der Lösung einen großen und wichtigen Schritt näher bringt. Das Problem besteht darin, die echten Einsichten des Hobbismus beizubehalten, ohne zuzulassen, dass das Argument von ihnen überwältigt (und somit kurz vor der Angemessenheit gestoppt) wird.</w:t>
      </w:r>
    </w:p>
    <w:p>
      <w:pPr>
        <w:pStyle w:val="Berschrift11"/>
        <w:keepNext w:val="true"/>
        <w:keepLines/>
        <w:widowControl w:val="false"/>
        <w:numPr>
          <w:ilvl w:val="0"/>
          <w:numId w:val="14"/>
        </w:numPr>
        <w:shd w:val="clear" w:color="auto" w:fill="auto"/>
        <w:tabs>
          <w:tab w:val="clear" w:pos="720"/>
          <w:tab w:val="left" w:pos="536" w:leader="none"/>
        </w:tabs>
        <w:bidi w:val="0"/>
        <w:spacing w:lineRule="auto" w:line="240" w:before="0" w:after="420"/>
        <w:ind w:left="0" w:right="0" w:hanging="0"/>
        <w:jc w:val="both"/>
        <w:rPr/>
      </w:pPr>
      <w:hyperlink w:anchor="bookmark10" w:tgtFrame="Current Document">
        <w:bookmarkStart w:id="24" w:name="bookmark33"/>
        <w:bookmarkStart w:id="25" w:name="bookmark35"/>
        <w:bookmarkStart w:id="26" w:name="bookmark34"/>
        <w:r>
          <w:rPr>
            <w:spacing w:val="0"/>
            <w:w w:val="100"/>
            <w:shd w:fill="auto" w:val="clear"/>
            <w:lang w:val="en-US" w:eastAsia="en-US" w:bidi="en-US"/>
          </w:rPr>
          <w:t>Das entwickelte Thema: 2. Locke</w:t>
        </w:r>
      </w:hyperlink>
      <w:bookmarkEnd w:id="24"/>
      <w:bookmarkEnd w:id="25"/>
      <w:bookmarkEnd w:id="26"/>
    </w:p>
    <w:p>
      <w:pPr>
        <w:pStyle w:val="Flietext1"/>
        <w:keepNext w:val="false"/>
        <w:keepLines w:val="false"/>
        <w:widowControl w:val="false"/>
        <w:shd w:val="clear" w:color="auto" w:fill="auto"/>
        <w:bidi w:val="0"/>
        <w:spacing w:before="0" w:after="280"/>
        <w:ind w:left="0" w:right="0" w:firstLine="260"/>
        <w:jc w:val="both"/>
        <w:rPr/>
      </w:pPr>
      <w:r>
        <w:rPr>
          <w:color w:val="000000"/>
          <w:spacing w:val="0"/>
          <w:w w:val="100"/>
          <w:shd w:fill="auto" w:val="clear"/>
          <w:lang w:val="en-US" w:eastAsia="en-US" w:bidi="en-US"/>
        </w:rPr>
        <w:t>Einführungen in Diskussionen über die politische Philosophie von John Locke scheinen normalerweise etwas Kurioses zu sein. Cranston sieht ihn als „sehr gewöhnlichen Denker“109; Kendall betont seine intellektuellen Schulden110; Sabine sieht ihn als ausgezeichnet in „weder Gelehrsamkeit noch Logik“111 ; Laski findet die „Tatsache der Revolution“ als die einzige Tatsache, die ihn von früheren Denkern unterscheidet112; Dunn verweist auf seine „Trägheit der Vorstellungskraft“ und sein „zusammenhangloses und nachlässig geschriebenes Werk“ und fügt hinzu, dass die traditionelle liberale Interpretation ihn als wenig mehr darstellt „als den Hausierer einiger müder und müder politischer Patentrezepte, eine sehr polonische Theorie der Politik „113 ; Mabbott findet in ihm die Widerspiegelung „des verwirrten Zustands eines gewöhnlichen Mannes, der plötzlich mit dem Problem politischer Autorität konfrontiert wurde“114; und Laslett geht so weit, ihn „den am wenigsten konsequenten der großen Philosophen“ zu nennen ein Bösewicht. Dies wirft sofort die Frage auf, warum ein verwirrter Verfechter des gesunden Menschenverstands so hoch und häufig im Pantheon der politischen Theorie figuriert und nicht allen Kommentatoren eine überzeugende Antwort gelingt.</w:t>
      </w:r>
    </w:p>
    <w:p>
      <w:pPr>
        <w:pStyle w:val="Flietext21"/>
        <w:keepNext w:val="false"/>
        <w:keepLines w:val="false"/>
        <w:widowControl w:val="false"/>
        <w:numPr>
          <w:ilvl w:val="0"/>
          <w:numId w:val="15"/>
        </w:numPr>
        <w:shd w:val="clear" w:color="auto" w:fill="auto"/>
        <w:tabs>
          <w:tab w:val="clear" w:pos="720"/>
          <w:tab w:val="left" w:pos="631" w:leader="none"/>
        </w:tabs>
        <w:bidi w:val="0"/>
        <w:spacing w:lineRule="auto" w:line="213" w:before="0" w:after="0"/>
        <w:ind w:left="0" w:right="0" w:firstLine="260"/>
        <w:jc w:val="both"/>
        <w:rPr/>
      </w:pPr>
      <w:r>
        <w:rPr>
          <w:color w:val="000000"/>
          <w:spacing w:val="0"/>
          <w:w w:val="100"/>
          <w:shd w:fill="auto" w:val="clear"/>
          <w:lang w:val="en-US" w:eastAsia="en-US" w:bidi="en-US"/>
        </w:rPr>
        <w:t>Maurice Cranston, „John Locke and Government by Consent“, in Political Ideas, hrsg. von David Thomson (Harmondsworth, England: Penguin Books Ltd., 1966), p. 69.</w:t>
      </w:r>
    </w:p>
    <w:p>
      <w:pPr>
        <w:pStyle w:val="Flietext21"/>
        <w:keepNext w:val="false"/>
        <w:keepLines w:val="false"/>
        <w:widowControl w:val="false"/>
        <w:numPr>
          <w:ilvl w:val="0"/>
          <w:numId w:val="15"/>
        </w:numPr>
        <w:shd w:val="clear" w:color="auto" w:fill="auto"/>
        <w:tabs>
          <w:tab w:val="clear" w:pos="720"/>
          <w:tab w:val="left" w:pos="626" w:leader="none"/>
        </w:tabs>
        <w:bidi w:val="0"/>
        <w:spacing w:lineRule="auto" w:line="216" w:before="0" w:after="0"/>
        <w:ind w:left="0" w:right="0" w:firstLine="260"/>
        <w:jc w:val="both"/>
        <w:rPr/>
      </w:pPr>
      <w:r>
        <w:rPr>
          <w:color w:val="000000"/>
          <w:spacing w:val="0"/>
          <w:w w:val="100"/>
          <w:shd w:fill="auto" w:val="clear"/>
          <w:lang w:val="en-US" w:eastAsia="en-US" w:bidi="en-US"/>
        </w:rPr>
        <w:t>Willmoore Kendall, John Locke and the Doctrine of Majority Rule (Urbana, I11.: University of Illinois Press, 1965), p. 40.</w:t>
      </w:r>
    </w:p>
    <w:p>
      <w:pPr>
        <w:pStyle w:val="Flietext21"/>
        <w:keepNext w:val="false"/>
        <w:keepLines w:val="false"/>
        <w:widowControl w:val="false"/>
        <w:numPr>
          <w:ilvl w:val="0"/>
          <w:numId w:val="15"/>
        </w:numPr>
        <w:shd w:val="clear" w:color="auto" w:fill="auto"/>
        <w:tabs>
          <w:tab w:val="clear" w:pos="720"/>
          <w:tab w:val="left" w:pos="656" w:leader="none"/>
        </w:tabs>
        <w:bidi w:val="0"/>
        <w:spacing w:lineRule="auto" w:line="189" w:before="0" w:after="0"/>
        <w:ind w:left="0" w:right="0" w:firstLine="260"/>
        <w:jc w:val="both"/>
        <w:rPr/>
      </w:pPr>
      <w:r>
        <w:rPr>
          <w:color w:val="000000"/>
          <w:spacing w:val="0"/>
          <w:w w:val="100"/>
          <w:shd w:fill="auto" w:val="clear"/>
          <w:lang w:val="en-US" w:eastAsia="en-US" w:bidi="en-US"/>
        </w:rPr>
        <w:t>Sabine, Eine Geschichte der politischen Theorie, S. 523.</w:t>
      </w:r>
    </w:p>
    <w:p>
      <w:pPr>
        <w:pStyle w:val="Flietext21"/>
        <w:keepNext w:val="false"/>
        <w:keepLines w:val="false"/>
        <w:widowControl w:val="false"/>
        <w:numPr>
          <w:ilvl w:val="0"/>
          <w:numId w:val="15"/>
        </w:numPr>
        <w:shd w:val="clear" w:color="auto" w:fill="auto"/>
        <w:tabs>
          <w:tab w:val="clear" w:pos="720"/>
          <w:tab w:val="left" w:pos="641" w:leader="none"/>
        </w:tabs>
        <w:bidi w:val="0"/>
        <w:spacing w:lineRule="auto" w:line="189" w:before="0" w:after="0"/>
        <w:ind w:left="0" w:right="0" w:firstLine="240"/>
        <w:jc w:val="left"/>
        <w:rPr/>
      </w:pPr>
      <w:r>
        <w:rPr>
          <w:color w:val="000000"/>
          <w:spacing w:val="0"/>
          <w:w w:val="100"/>
          <w:shd w:fill="auto" w:val="clear"/>
          <w:lang w:val="en-US" w:eastAsia="en-US" w:bidi="en-US"/>
        </w:rPr>
        <w:t>Laski, Politisches Denken in England, S. 40.</w:t>
      </w:r>
    </w:p>
    <w:p>
      <w:pPr>
        <w:pStyle w:val="Flietext21"/>
        <w:keepNext w:val="false"/>
        <w:keepLines w:val="false"/>
        <w:widowControl w:val="false"/>
        <w:numPr>
          <w:ilvl w:val="0"/>
          <w:numId w:val="15"/>
        </w:numPr>
        <w:shd w:val="clear" w:color="auto" w:fill="auto"/>
        <w:tabs>
          <w:tab w:val="clear" w:pos="720"/>
          <w:tab w:val="left" w:pos="626" w:leader="none"/>
        </w:tabs>
        <w:bidi w:val="0"/>
        <w:spacing w:lineRule="auto" w:line="213" w:before="0" w:after="0"/>
        <w:ind w:left="0" w:right="0" w:firstLine="260"/>
        <w:jc w:val="both"/>
        <w:rPr/>
      </w:pPr>
      <w:r>
        <w:rPr>
          <w:color w:val="000000"/>
          <w:spacing w:val="0"/>
          <w:w w:val="100"/>
          <w:shd w:fill="auto" w:val="clear"/>
          <w:lang w:val="en-US" w:eastAsia="en-US" w:bidi="en-US"/>
        </w:rPr>
        <w:t>John Dunn, The Political Thought of John Locke: An Historical Account of the Argument of the „Two Treatises of Government“ (Cambridge: Cambridge University Press, 1969), S. 123, 164, 205.</w:t>
      </w:r>
    </w:p>
    <w:p>
      <w:pPr>
        <w:pStyle w:val="Flietext21"/>
        <w:keepNext w:val="false"/>
        <w:keepLines w:val="false"/>
        <w:widowControl w:val="false"/>
        <w:numPr>
          <w:ilvl w:val="0"/>
          <w:numId w:val="15"/>
        </w:numPr>
        <w:shd w:val="clear" w:color="auto" w:fill="auto"/>
        <w:tabs>
          <w:tab w:val="clear" w:pos="720"/>
          <w:tab w:val="left" w:pos="641" w:leader="none"/>
        </w:tabs>
        <w:bidi w:val="0"/>
        <w:spacing w:lineRule="auto" w:line="189" w:before="0" w:after="0"/>
        <w:ind w:left="0" w:right="0" w:firstLine="240"/>
        <w:jc w:val="left"/>
        <w:rPr/>
      </w:pPr>
      <w:r>
        <w:rPr>
          <w:color w:val="000000"/>
          <w:spacing w:val="0"/>
          <w:w w:val="100"/>
          <w:shd w:fill="auto" w:val="clear"/>
          <w:lang w:val="en-US" w:eastAsia="en-US" w:bidi="en-US"/>
        </w:rPr>
        <w:t>J. D. Mabbott, The State and the Citizen (London: Hutchinson, 1967) p. 21.</w:t>
      </w:r>
    </w:p>
    <w:p>
      <w:pPr>
        <w:pStyle w:val="Flietext21"/>
        <w:keepNext w:val="false"/>
        <w:keepLines w:val="false"/>
        <w:widowControl w:val="false"/>
        <w:numPr>
          <w:ilvl w:val="0"/>
          <w:numId w:val="15"/>
        </w:numPr>
        <w:shd w:val="clear" w:color="auto" w:fill="auto"/>
        <w:tabs>
          <w:tab w:val="clear" w:pos="720"/>
          <w:tab w:val="left" w:pos="626" w:leader="none"/>
        </w:tabs>
        <w:bidi w:val="0"/>
        <w:spacing w:lineRule="auto" w:line="213" w:before="0" w:after="0"/>
        <w:ind w:left="0" w:right="0" w:firstLine="260"/>
        <w:jc w:val="both"/>
        <w:rPr/>
      </w:pPr>
      <w:r>
        <w:rPr>
          <w:color w:val="000000"/>
          <w:spacing w:val="0"/>
          <w:w w:val="100"/>
          <w:shd w:fill="auto" w:val="clear"/>
          <w:lang w:val="en-US" w:eastAsia="en-US" w:bidi="en-US"/>
        </w:rPr>
        <w:t>Peter Laslett, Introduction to John Locke, Two Treatises on Government (New York &amp; Toronto: The New American Library, 1963), p. 95.</w:t>
      </w:r>
    </w:p>
    <w:p>
      <w:pPr>
        <w:pStyle w:val="Flietext21"/>
        <w:keepNext w:val="false"/>
        <w:keepLines w:val="false"/>
        <w:widowControl w:val="false"/>
        <w:numPr>
          <w:ilvl w:val="0"/>
          <w:numId w:val="15"/>
        </w:numPr>
        <w:shd w:val="clear" w:color="auto" w:fill="auto"/>
        <w:tabs>
          <w:tab w:val="clear" w:pos="720"/>
          <w:tab w:val="left" w:pos="626" w:leader="none"/>
        </w:tabs>
        <w:bidi w:val="0"/>
        <w:spacing w:lineRule="auto" w:line="213" w:before="0" w:after="200"/>
        <w:ind w:left="0" w:right="0" w:firstLine="260"/>
        <w:jc w:val="both"/>
        <w:rPr/>
      </w:pPr>
      <w:r>
        <w:rPr>
          <w:color w:val="000000"/>
          <w:spacing w:val="0"/>
          <w:w w:val="100"/>
          <w:shd w:fill="auto" w:val="clear"/>
          <w:lang w:val="en-US" w:eastAsia="en-US" w:bidi="en-US"/>
        </w:rPr>
        <w:t>Leo Strauss, Naturrecht und Geschichte (Chicago &amp; London: University of Chicago press, 1953).</w:t>
      </w:r>
    </w:p>
    <w:p>
      <w:pPr>
        <w:pStyle w:val="Flietext1"/>
        <w:keepNext w:val="false"/>
        <w:keepLines w:val="false"/>
        <w:widowControl w:val="false"/>
        <w:shd w:val="clear" w:color="auto" w:fill="auto"/>
        <w:bidi w:val="0"/>
        <w:spacing w:before="0" w:after="0"/>
        <w:ind w:left="0" w:right="0" w:firstLine="260"/>
        <w:jc w:val="both"/>
        <w:rPr/>
      </w:pPr>
      <w:r>
        <w:rPr>
          <w:color w:val="000000"/>
          <w:spacing w:val="0"/>
          <w:w w:val="100"/>
          <w:shd w:fill="auto" w:val="clear"/>
          <w:lang w:val="en-US" w:eastAsia="en-US" w:bidi="en-US"/>
        </w:rPr>
        <w:t>Der einzige andere Punkt allgemeiner Übereinstimmung ist, dass Lockes Zwei Abhandlungen eine Verbindung mit der glorreichen Revolution hatten; Obwohl die frühe Chronologie Locke als einen Apologeten der Revolution sah, der nach dem Ereignis schrieb, hat Laslett568 die Einfachheit dieses Ansatzes effektiv demontiert und Elemente der Arbeit aus der früheren Ausschlusskrise abgeleitet, wobei andere Teile 1689 ziemlich lückenhaft hinzugefügt wurden. (George Sabine weicht der Frage ganz aus und sagt lediglich, dass die beiden Aufsätze „1690 mit dem erklärten Zweck veröffentlicht wurden, die Revolution zu verteidigen.“ ein aufrührerisches und revolutionäres Manifest als eine Entschuldigung für einen Status quo. Unabhängig vom Datum seiner materiellen Verwirklichung wurde in den Abhandlungen sicherlich eine Episode ins Auge gefasst und gerechtfertigt, die der von 1688 sehr ähnlich war, und die Modifikation des Werks, um diesen historischen Anlass zu würdigen, hätte weder eine Gewissenskrise noch eine grundlegende Revision verursachen müssen. Ob sie vor oder nach der Revolution geschrieben wurden, ob die spezifische Revolution, die sie rechtfertigen sollte, ein Triumph oder eine Totgeburt war, die Abhandlungen sollen eine Revolution wie die glorreiche Revolution rechtfertigen und können so ohne Verzerrung betrachtet werden Falschdarstellung.</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Abgesehen von diesen bloßen Tatsachen – Mangel an Originalität, gesunder Menschenverstand kombiniert mit Verwirrung, eine zustimmende Verbindung mit der glorreichen Revolution –, über Locke zu diskutieren, bedeutet, mit verbundenen Augen durch ein Minenfeld zu gehen. Es gibt Debatten darüber, wie seine Schriften von Anfang bis Ende zu interpretieren sind; die Dankbarkeit, die man Locke gegenüber empfindet, einen politischen Klassiker von überschaubarer Länge geschrieben zu haben, beginnt beim Anblick der Lastwagen zu verblassen, die verschiedene Autoren durch die Löcher fahren, die seine Theorie hinterlassen hat. Um das extremste Beispiel zu nennen: Willmoore Kendall sieht Locke als einen Anhänger der unbegrenzten Mehrheitsregel der Variante des allgemeinen Willens und stellt Locke in die Kategorie, in die man allgemein Rousseau einordnet568 – und scheint ziemlich konsequent vorschlagen zu wollen, dass wir Rousseau interpretieren sollten umso mehr, je mehr wir dazu neigen, Locke zu interpretieren.569 Jede Diskussion von Lockes politischer Theorie und damit von Lockes Theorie der politischen Verpflichtung ist daher zwangsläufig kontrovers; Du kannst es nicht immer allen recht machen, besonders wenn du über Locke schreibst. Die Diskussion hierin neigt dazu, Teile der traditionelleren Interpretationen der beiden Verträge zu akzeptieren, aber innerhalb dieses allgemeinen Rahmens wird eine Version des Gesellschaftsvertrags vorgeschlagen, die die Spannung auflöst, die normalerweise zwischen den Aspekten der Zustimmung und des Naturrechts in seiner Theorie zu sehen ist.</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Das zentrale Konzept von Lockes politischer Analyse ist das des Gesellschaftsvertrags. Wie Hobbes begann er mit dem Zustand des Menschen in einem vorpolitischen Naturzustand, nur dass dieser Zustand für Locke in einer Weise ganz anders war, die tiefgreifende Auswirkungen auf seine politischen Vorschriften hatte. Lockes Naturzustand war ein Zustand relativer Harmonie und umfassender Zusammenarbeit, viele neigten eher dazu, mit seinen Nachbarn zusammenzuarbeiten, um die Gaben der Natur zu genießen, als ihm grundlos den Schädel einzuschlagen. Schon jetzt schieben sich zwei Kontroversen ein. Zunächst stellt sich die Frage, wie dieser Naturzustand zu interpretieren ist – ob er wörtlich zu nehmen ist, als historische Hypothese. Lewis120 121 568 vertritt diese Position ebenso wie Stanlis,123 Strauss,124 Barker125 und Cranston126 die Tatsache, dass Locke eine Geste machte, historische Beispiele zu liefern, und mangels weiterer solcher Beispiele unvollständige Aufzeichnungen der frühesten Zeit zitiert127 wird normalerweise als unterstützender Beweis angesehen. Auf der anderen Seite nimmt Kendall ausdrücklich das Gegenteil an,128 Laslett stimmt zu, indem er die völlige Irrelevanz jeglicher historischer Beweise argumentiert,129 und Seliger geht so weit, darauf zu bestehen, dass „Lockes Theorie vollkommen widersprüchlich wäre“, wenn der Zustand der Natur so wäre kein rein hypothetisches Konstrukt.130 Ohne sich auf das Spiel des transtemporalen Gedankenlesens einzulassen, kann man sagen, dass es sich hier aus der Sicht der politischen Verpflichtungsproblematik um eine im pejorativen Sinne akademisch diskutierte Nichtfrage handelt . Wichtig ist, dass Locke, wie vor ihm Hobbes, der Meinung war, dass wichtige Schlussfolgerungen über Politik, den Staat und die Beziehung zwischen beiden gewonnen werden könnten, indem man den Zustand des Menschen ohne den Staat untersucht oder sich vorstellt. Anthropologische Beweise sind nebensächlich, möglicherweise hilfreich, aber nicht entscheidend; psychologische Beweise könnten relevanter sein, aber mit Einschränkungen.569 Das Gerät setzte den instrumentellen Zweck des Staates voraus, und die Beschreibung des vermeintlichen Naturzustands setzte bestimmte Merkmale dieses Zustands voraus. Aber beide befassten sich in erster Linie nicht mit der Vorgeschichte, sondern mit der Zeitgeschichte; Für beide war der Naturzustand als Abstraktion von und als Isolierung der entscheidenden Merkmale der zeitgenössischen Gesellschaft gedacht. Ob sie den ursprünglichen Vertrag als ein tatsächliches Ereignis betrachtet haben oder nicht, müssen sie nicht getan haben, und dies ist für die grundlegende Logik des Geräts irrelevant.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21"/>
        <w:keepNext w:val="false"/>
        <w:keepLines w:val="false"/>
        <w:widowControl w:val="false"/>
        <w:numPr>
          <w:ilvl w:val="0"/>
          <w:numId w:val="16"/>
        </w:numPr>
        <w:shd w:val="clear" w:color="auto" w:fill="auto"/>
        <w:tabs>
          <w:tab w:val="clear" w:pos="720"/>
          <w:tab w:val="left" w:pos="647" w:leader="none"/>
        </w:tabs>
        <w:bidi w:val="0"/>
        <w:spacing w:lineRule="auto" w:line="213" w:before="0" w:after="0"/>
        <w:ind w:left="0" w:right="0" w:firstLine="280"/>
        <w:jc w:val="both"/>
        <w:rPr/>
      </w:pPr>
      <w:r>
        <w:rPr>
          <w:color w:val="000000"/>
          <w:spacing w:val="0"/>
          <w:w w:val="100"/>
          <w:shd w:fill="auto" w:val="clear"/>
          <w:lang w:val="en-US" w:eastAsia="en-US" w:bidi="en-US"/>
        </w:rPr>
        <w:t>Peter J. Stanlis, Edmund Burke und das Naturgesetz (Ann Arbor: University of Michigan Press, 1958), p. 137.</w:t>
      </w:r>
    </w:p>
    <w:p>
      <w:pPr>
        <w:pStyle w:val="Flietext21"/>
        <w:keepNext w:val="false"/>
        <w:keepLines w:val="false"/>
        <w:widowControl w:val="false"/>
        <w:numPr>
          <w:ilvl w:val="0"/>
          <w:numId w:val="16"/>
        </w:numPr>
        <w:shd w:val="clear" w:color="auto" w:fill="auto"/>
        <w:tabs>
          <w:tab w:val="clear" w:pos="720"/>
          <w:tab w:val="left" w:pos="662" w:leader="none"/>
        </w:tabs>
        <w:bidi w:val="0"/>
        <w:spacing w:lineRule="auto" w:line="189" w:before="0" w:after="0"/>
        <w:ind w:left="0" w:right="0" w:firstLine="240"/>
        <w:jc w:val="left"/>
        <w:rPr/>
      </w:pPr>
      <w:r>
        <w:rPr>
          <w:color w:val="000000"/>
          <w:spacing w:val="0"/>
          <w:w w:val="100"/>
          <w:shd w:fill="auto" w:val="clear"/>
          <w:lang w:val="en-US" w:eastAsia="en-US" w:bidi="en-US"/>
        </w:rPr>
        <w:t>Strauss, Naturrecht und Geschichte, S. 230.</w:t>
      </w:r>
    </w:p>
    <w:p>
      <w:pPr>
        <w:pStyle w:val="Flietext21"/>
        <w:keepNext w:val="false"/>
        <w:keepLines w:val="false"/>
        <w:widowControl w:val="false"/>
        <w:numPr>
          <w:ilvl w:val="0"/>
          <w:numId w:val="16"/>
        </w:numPr>
        <w:shd w:val="clear" w:color="auto" w:fill="auto"/>
        <w:tabs>
          <w:tab w:val="clear" w:pos="720"/>
          <w:tab w:val="left" w:pos="662" w:leader="none"/>
        </w:tabs>
        <w:bidi w:val="0"/>
        <w:spacing w:lineRule="auto" w:line="189" w:before="0" w:after="0"/>
        <w:ind w:left="0" w:right="0" w:firstLine="240"/>
        <w:jc w:val="left"/>
        <w:rPr/>
      </w:pPr>
      <w:r>
        <w:rPr>
          <w:color w:val="000000"/>
          <w:spacing w:val="0"/>
          <w:w w:val="100"/>
          <w:shd w:fill="auto" w:val="clear"/>
          <w:lang w:val="en-US" w:eastAsia="en-US" w:bidi="en-US"/>
        </w:rPr>
        <w:t>Ernest Barker, Essays of Government (London: Oxford University Press, 1951), p. 98.</w:t>
      </w:r>
    </w:p>
    <w:p>
      <w:pPr>
        <w:pStyle w:val="Flietext21"/>
        <w:keepNext w:val="false"/>
        <w:keepLines w:val="false"/>
        <w:widowControl w:val="false"/>
        <w:numPr>
          <w:ilvl w:val="0"/>
          <w:numId w:val="16"/>
        </w:numPr>
        <w:shd w:val="clear" w:color="auto" w:fill="auto"/>
        <w:tabs>
          <w:tab w:val="clear" w:pos="720"/>
          <w:tab w:val="left" w:pos="662" w:leader="none"/>
        </w:tabs>
        <w:bidi w:val="0"/>
        <w:spacing w:lineRule="auto" w:line="189" w:before="0" w:after="0"/>
        <w:ind w:left="0" w:right="0" w:firstLine="240"/>
        <w:jc w:val="left"/>
        <w:rPr/>
      </w:pPr>
      <w:r>
        <w:rPr>
          <w:color w:val="000000"/>
          <w:spacing w:val="0"/>
          <w:w w:val="100"/>
          <w:shd w:fill="auto" w:val="clear"/>
          <w:lang w:val="en-US" w:eastAsia="en-US" w:bidi="en-US"/>
        </w:rPr>
        <w:t>Cranston, „John Locke und Regierung im Einvernehmen“, S. 75.</w:t>
      </w:r>
    </w:p>
    <w:p>
      <w:pPr>
        <w:pStyle w:val="Flietext21"/>
        <w:keepNext w:val="false"/>
        <w:keepLines w:val="false"/>
        <w:widowControl w:val="false"/>
        <w:numPr>
          <w:ilvl w:val="0"/>
          <w:numId w:val="16"/>
        </w:numPr>
        <w:shd w:val="clear" w:color="auto" w:fill="auto"/>
        <w:tabs>
          <w:tab w:val="clear" w:pos="720"/>
          <w:tab w:val="left" w:pos="642" w:leader="none"/>
        </w:tabs>
        <w:bidi w:val="0"/>
        <w:spacing w:lineRule="auto" w:line="189" w:before="0" w:after="0"/>
        <w:ind w:left="0" w:right="0" w:firstLine="240"/>
        <w:jc w:val="left"/>
        <w:rPr/>
      </w:pPr>
      <w:r>
        <w:rPr>
          <w:color w:val="000000"/>
          <w:spacing w:val="0"/>
          <w:w w:val="100"/>
          <w:shd w:fill="auto" w:val="clear"/>
          <w:lang w:val="en-US" w:eastAsia="en-US" w:bidi="en-US"/>
        </w:rPr>
        <w:t>Locke, Zweite Abhandlung, Kap. VII, 11, 12-22, p. 378.</w:t>
      </w:r>
    </w:p>
    <w:p>
      <w:pPr>
        <w:pStyle w:val="Flietext21"/>
        <w:keepNext w:val="false"/>
        <w:keepLines w:val="false"/>
        <w:widowControl w:val="false"/>
        <w:numPr>
          <w:ilvl w:val="0"/>
          <w:numId w:val="16"/>
        </w:numPr>
        <w:shd w:val="clear" w:color="auto" w:fill="auto"/>
        <w:tabs>
          <w:tab w:val="clear" w:pos="720"/>
          <w:tab w:val="left" w:pos="647" w:leader="none"/>
        </w:tabs>
        <w:bidi w:val="0"/>
        <w:spacing w:lineRule="auto" w:line="189" w:before="0" w:after="0"/>
        <w:ind w:left="0" w:right="0" w:firstLine="240"/>
        <w:jc w:val="left"/>
        <w:rPr/>
      </w:pPr>
      <w:r>
        <w:rPr>
          <w:color w:val="000000"/>
          <w:spacing w:val="0"/>
          <w:w w:val="100"/>
          <w:shd w:fill="auto" w:val="clear"/>
          <w:lang w:val="en-US" w:eastAsia="en-US" w:bidi="en-US"/>
        </w:rPr>
        <w:t>Kendall, John Locke und die Mehrheitsregel, S. 75.</w:t>
      </w:r>
    </w:p>
    <w:p>
      <w:pPr>
        <w:pStyle w:val="Flietext21"/>
        <w:keepNext w:val="false"/>
        <w:keepLines w:val="false"/>
        <w:widowControl w:val="false"/>
        <w:numPr>
          <w:ilvl w:val="0"/>
          <w:numId w:val="16"/>
        </w:numPr>
        <w:shd w:val="clear" w:color="auto" w:fill="auto"/>
        <w:tabs>
          <w:tab w:val="clear" w:pos="720"/>
          <w:tab w:val="left" w:pos="647" w:leader="none"/>
        </w:tabs>
        <w:bidi w:val="0"/>
        <w:spacing w:lineRule="auto" w:line="189" w:before="0" w:after="0"/>
        <w:ind w:left="0" w:right="0" w:firstLine="240"/>
        <w:jc w:val="left"/>
        <w:rPr/>
      </w:pPr>
      <w:r>
        <w:rPr>
          <w:color w:val="000000"/>
          <w:spacing w:val="0"/>
          <w:w w:val="100"/>
          <w:shd w:fill="auto" w:val="clear"/>
          <w:lang w:val="en-US" w:eastAsia="en-US" w:bidi="en-US"/>
        </w:rPr>
        <w:t>Laslett, op. cit., p. 91.</w:t>
      </w:r>
    </w:p>
    <w:p>
      <w:pPr>
        <w:pStyle w:val="Flietext21"/>
        <w:keepNext w:val="false"/>
        <w:keepLines w:val="false"/>
        <w:widowControl w:val="false"/>
        <w:numPr>
          <w:ilvl w:val="0"/>
          <w:numId w:val="16"/>
        </w:numPr>
        <w:shd w:val="clear" w:color="auto" w:fill="auto"/>
        <w:tabs>
          <w:tab w:val="clear" w:pos="720"/>
          <w:tab w:val="left" w:pos="638" w:leader="none"/>
        </w:tabs>
        <w:bidi w:val="0"/>
        <w:spacing w:lineRule="auto" w:line="213" w:before="0" w:after="220"/>
        <w:ind w:left="0" w:right="0" w:firstLine="280"/>
        <w:jc w:val="both"/>
        <w:rPr/>
      </w:pPr>
      <w:r>
        <w:rPr>
          <w:color w:val="000000"/>
          <w:spacing w:val="0"/>
          <w:w w:val="100"/>
          <w:shd w:fill="auto" w:val="clear"/>
          <w:lang w:val="en-US" w:eastAsia="en-US" w:bidi="en-US"/>
        </w:rPr>
        <w:t>M. Seliger, The Liberal Politics of John Locke (London: George Allen &amp; Unwin Ltd., 1968), p. 82.</w:t>
      </w:r>
    </w:p>
    <w:p>
      <w:pPr>
        <w:pStyle w:val="Flietext1"/>
        <w:keepNext w:val="false"/>
        <w:keepLines w:val="false"/>
        <w:widowControl w:val="false"/>
        <w:shd w:val="clear" w:color="auto" w:fill="auto"/>
        <w:bidi w:val="0"/>
        <w:spacing w:before="0" w:after="260"/>
        <w:ind w:left="0" w:right="0" w:firstLine="280"/>
        <w:jc w:val="both"/>
        <w:rPr/>
      </w:pPr>
      <w:r>
        <w:rPr>
          <w:color w:val="000000"/>
          <w:spacing w:val="0"/>
          <w:w w:val="100"/>
          <w:shd w:fill="auto" w:val="clear"/>
          <w:lang w:val="en-US" w:eastAsia="en-US" w:bidi="en-US"/>
        </w:rPr>
        <w:t>Dies führt direkt zur zweiten Kontroverse, nämlich der Beziehung oder deren Fehlen zwischen Hobbes und Locke. Einige sehen Locke als einen Umgeher der „Verpflichtung“, sich mit der Strenge von Hobbes auseinanderzusetzen und den einfachen Ausweg zu wählen, indem er es mit einem Filmer aufnimmt, der, wie Laski vorschlägt, „vielleicht nie bekannt geworden wäre, wenn Locke ihn nicht so durch eine Erwiderung geehrt hätte.“131 568 Andere , wie Laslett569 und Dunn570, bestehen vehement darauf, dass Filmer das eigentliche und würdige Ziel war, bei weitem wichtiger als der unmoderne Hobbes (obwohl Skinners Gegenangriff571 die Vorstellung in Frage stellt, dass Hobbes wirklich so unwichtig war); zumindest teilweise war Lockes Werk ein politisches Pamphlet, ausgelöst durch die Exklusionskrise und gerichtet gegen den Patriarchalismus seiner politischen Gegner. Dass der spezifische Gegner ein philosophisches Leichtgewicht war, wird ebenso nützlich als das Produkt eines historischen Zufalls wie der Feigheit von Locke angesehen. Als Ergebnis werden „die Hobbesschen Argumente nicht beantwortet. Sie werden einfach und höflich ignoriert“, weil</w:t>
      </w:r>
    </w:p>
    <w:p>
      <w:pPr>
        <w:pStyle w:val="Flietext1"/>
        <w:keepNext w:val="false"/>
        <w:keepLines w:val="false"/>
        <w:widowControl w:val="false"/>
        <w:shd w:val="clear" w:color="auto" w:fill="auto"/>
        <w:bidi w:val="0"/>
        <w:spacing w:lineRule="auto" w:line="240" w:before="0" w:after="0"/>
        <w:ind w:left="240" w:right="0" w:firstLine="380"/>
        <w:jc w:val="left"/>
        <w:rPr/>
      </w:pPr>
      <w:r>
        <w:rPr>
          <w:color w:val="000000"/>
          <w:spacing w:val="0"/>
          <w:w w:val="100"/>
          <w:shd w:fill="auto" w:val="clear"/>
          <w:vertAlign w:val="superscript"/>
          <w:lang w:val="en-US" w:eastAsia="en-US" w:bidi="en-US"/>
        </w:rPr>
        <w:t>Hobbes' Problem ist die Konstruktion der politischen Gesellschaft aus einem ethischen Vakuum heraus. Locke hat sich diesem Problem in den Zwei Abhandlungen nie gestellt, weil seine zentrale Prämisse genau das Fehlen eines solchen Vakuums ist.136</w:t>
      </w:r>
    </w:p>
    <w:p>
      <w:pPr>
        <w:pStyle w:val="Flietext1"/>
        <w:keepNext w:val="false"/>
        <w:keepLines w:val="false"/>
        <w:widowControl w:val="false"/>
        <w:shd w:val="clear" w:color="auto" w:fill="auto"/>
        <w:bidi w:val="0"/>
        <w:spacing w:before="0" w:after="0"/>
        <w:ind w:left="0" w:right="0" w:hanging="0"/>
        <w:jc w:val="both"/>
        <w:rPr/>
      </w:pPr>
      <w:r>
        <w:rPr>
          <w:color w:val="000000"/>
          <w:spacing w:val="0"/>
          <w:w w:val="100"/>
          <w:shd w:fill="auto" w:val="clear"/>
          <w:lang w:val="en-US" w:eastAsia="en-US" w:bidi="en-US"/>
        </w:rPr>
        <w:t>Die Interessen von Historikern sind jedoch nicht immer die von Philosophen; die rein vorübergehende Bedeutung von Filmer (abgesehen von einem weiteren Scharmützel im andauernden Kampf zwischen Politik-als-Überfamilie und Politik-als-etwas-radikal-Unterschiedlichem, der seit Aristoteles137 heiß und immer wieder aufs Neue geführt wird) steht in scharfem Kontrast zu der immer wieder relevante Einsichten von Hobbes, und es ist Lockes indirekte Antwort auf Leviathan, die von größerem philosophischen Interesse ist. Dunn weist zu Recht darauf hin, dass sie sich nicht einfach gegenüberstehen, aber sowohl Parallelen als auch Unterschiede zwischen den beiden sind deutlich und offensichtlich und machen einen Vergleich unwiderstehlich. Aus der richtigen Perspektive betrachtet, sind es die Ähnlichkeiten, die am auffälligsten sind, so dass die beiden zu Variationen eines Themas werden; Dieses Thema zu verdeutlichen, ist das Ziel dieser Arbeit.</w:t>
      </w:r>
    </w:p>
    <w:p>
      <w:pPr>
        <w:pStyle w:val="Flietext1"/>
        <w:keepNext w:val="false"/>
        <w:keepLines w:val="false"/>
        <w:widowControl w:val="false"/>
        <w:shd w:val="clear" w:color="auto" w:fill="auto"/>
        <w:bidi w:val="0"/>
        <w:spacing w:before="0" w:after="260"/>
        <w:ind w:left="0" w:right="0" w:firstLine="320"/>
        <w:jc w:val="both"/>
        <w:rPr/>
      </w:pPr>
      <w:r>
        <w:rPr>
          <w:color w:val="000000"/>
          <w:spacing w:val="0"/>
          <w:w w:val="100"/>
          <w:shd w:fill="auto" w:val="clear"/>
          <w:lang w:val="en-US" w:eastAsia="en-US" w:bidi="en-US"/>
        </w:rPr>
        <w:t>Aus der Perspektive eines Vergleichs mit Hobbes betrachtet, versucht Locke natürlich nur, die Hobbes'sche Position auf billige Weise zu widerlegen; er nimmt lediglich an, was Hobbes herleiten muss, weil Lockes Naturzustand bereits so angenehm und gutartig ist. Allerdings „ist klar, dass aus Lockes Naturzustand niemals eine Gesellschaft entstehen könnte“138, weil so verwandte Menschen den Staat nicht brauchen würden. Daher ist Locke gezwungen, die Idee einzuführen, dass es bestimmte „Unannehmlichkeiten“ im Naturzustand gibt, und diese Unannehmlichkeiten machen einen längeren Aufenthalt im hypothetischen Naturzustand weniger wünschenswert und weniger paradiesisch, als es zunächst den Anschein hatte – insbesondere sind dies die Fehlen eines bekannten und etablierten Rechts, Fehlen eines allgemeinen Richters, häufiges Fehlen einer angemessenen Befugnis zur Durchsetzung von Urteilen.139 Während er darüber spricht, lassen diese „Unannehmlichkeiten“ den Lockeschen Naturzustand immer mehr wie den Hobbesschen Krieg erscheinen von jedem gegen alle, und die stärkeren familiären Bindungen, die Locke zugibt, scheinen Blutfehden und Rachefeldzügen nur Tür und Tor zu öffnen „behäbiges Settlement“, Gewalt auszuüben,141 und daher als Beschreibung eher auf eine Anklage absoluter Willkür als auf eine Ablehnung des vorpolitischen Zustands abzielt) ist er viel bereitwilliger, diese Ähnlichkeit zu akzeptiereni ty, wenn es seine Argumentation untermauert.142 Die Betonung der Fähigkeit des natürlichen Menschen, auf einer stabilen Basis zu kooperieren, muss zurückgenommen werden, wenn die Zivilgesellschaft als rational notwendig und nicht nur als optional postuliert werden soll. Der Unterschied in der Betonung ist jedoch dennoch signifikant; Der Kontrast zwischen den „Unannehmlichkeiten“ von Lockes Naturzustand und dem schieren Schrecken des Hobbesschen Naturzustands der Menschheit macht die Möglichkeit einer Revolution zu einer glaubwürdigen Abschreckung in Lockes Argumentation. (Durch die Betonung der freien Natur des angeblich abgeschlossenen Vertrags ermöglicht es Locke, Hobbes' Prämisse, die für die meisten Vertragspartner unverständlich ist, zu beseitigen, dass unter Zwang geschlossene Verträge bindend sind; jedoch ist dieses Merkmal so zweitrangig, dass es irreführend ist, es zu betonen . )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21"/>
        <w:keepNext w:val="false"/>
        <w:keepLines w:val="false"/>
        <w:widowControl w:val="false"/>
        <w:numPr>
          <w:ilvl w:val="0"/>
          <w:numId w:val="17"/>
        </w:numPr>
        <w:shd w:val="clear" w:color="auto" w:fill="auto"/>
        <w:tabs>
          <w:tab w:val="clear" w:pos="720"/>
          <w:tab w:val="left" w:pos="639" w:leader="none"/>
        </w:tabs>
        <w:bidi w:val="0"/>
        <w:spacing w:lineRule="auto" w:line="189" w:before="0" w:after="0"/>
        <w:ind w:left="0" w:right="0" w:firstLine="240"/>
        <w:jc w:val="left"/>
        <w:rPr/>
      </w:pPr>
      <w:r>
        <w:rPr>
          <w:color w:val="000000"/>
          <w:spacing w:val="0"/>
          <w:w w:val="100"/>
          <w:shd w:fill="auto" w:val="clear"/>
          <w:lang w:val="en-US" w:eastAsia="en-US" w:bidi="en-US"/>
        </w:rPr>
        <w:t>Dunn, Politisches Denken von John Locke, S. 83, 79.</w:t>
      </w:r>
    </w:p>
    <w:p>
      <w:pPr>
        <w:pStyle w:val="Flietext21"/>
        <w:keepNext w:val="false"/>
        <w:keepLines w:val="false"/>
        <w:widowControl w:val="false"/>
        <w:numPr>
          <w:ilvl w:val="0"/>
          <w:numId w:val="17"/>
        </w:numPr>
        <w:shd w:val="clear" w:color="auto" w:fill="auto"/>
        <w:tabs>
          <w:tab w:val="clear" w:pos="720"/>
          <w:tab w:val="left" w:pos="625" w:leader="none"/>
        </w:tabs>
        <w:bidi w:val="0"/>
        <w:spacing w:lineRule="auto" w:line="213" w:before="0" w:after="0"/>
        <w:ind w:left="0" w:right="0" w:firstLine="260"/>
        <w:jc w:val="both"/>
        <w:rPr/>
      </w:pPr>
      <w:r>
        <w:rPr>
          <w:color w:val="000000"/>
          <w:spacing w:val="0"/>
          <w:w w:val="100"/>
          <w:shd w:fill="auto" w:val="clear"/>
          <w:lang w:val="en-US" w:eastAsia="en-US" w:bidi="en-US"/>
        </w:rPr>
        <w:t>vgl. insbesondere Hannah Arendt, The Human Condition (Garden City, N.Y.; Doubleday, 1958), Kap. II.</w:t>
      </w:r>
    </w:p>
    <w:p>
      <w:pPr>
        <w:pStyle w:val="Flietext21"/>
        <w:keepNext w:val="false"/>
        <w:keepLines w:val="false"/>
        <w:widowControl w:val="false"/>
        <w:numPr>
          <w:ilvl w:val="0"/>
          <w:numId w:val="17"/>
        </w:numPr>
        <w:shd w:val="clear" w:color="auto" w:fill="auto"/>
        <w:tabs>
          <w:tab w:val="clear" w:pos="720"/>
          <w:tab w:val="left" w:pos="659" w:leader="none"/>
        </w:tabs>
        <w:bidi w:val="0"/>
        <w:spacing w:lineRule="auto" w:line="189" w:before="0" w:after="200"/>
        <w:ind w:left="0" w:right="0" w:firstLine="260"/>
        <w:jc w:val="both"/>
        <w:rPr/>
      </w:pPr>
      <w:r>
        <w:rPr>
          <w:color w:val="000000"/>
          <w:spacing w:val="0"/>
          <w:w w:val="100"/>
          <w:shd w:fill="auto" w:val="clear"/>
          <w:lang w:val="en-US" w:eastAsia="en-US" w:bidi="en-US"/>
        </w:rPr>
        <w:t>Mabbott, Der Staat und der Bürger, S. 21.</w:t>
      </w:r>
    </w:p>
    <w:p>
      <w:pPr>
        <w:pStyle w:val="Flietext1"/>
        <w:keepNext w:val="false"/>
        <w:keepLines w:val="false"/>
        <w:widowControl w:val="false"/>
        <w:shd w:val="clear" w:color="auto" w:fill="auto"/>
        <w:bidi w:val="0"/>
        <w:spacing w:before="0" w:after="260"/>
        <w:ind w:left="0" w:right="0" w:firstLine="260"/>
        <w:jc w:val="both"/>
        <w:rPr/>
      </w:pPr>
      <w:r>
        <w:rPr>
          <w:color w:val="000000"/>
          <w:spacing w:val="0"/>
          <w:w w:val="100"/>
          <w:shd w:fill="auto" w:val="clear"/>
          <w:lang w:val="en-US" w:eastAsia="en-US" w:bidi="en-US"/>
        </w:rPr>
        <w:t>Es ist wichtig zu sehen, was genau vor sich geht, denn die Kluft zwischen Hobbes und Locke in diesem Punkt ist wirklich so gering, dass sie auf eine gewisse Spitzfindigkeit hinausläuft. Beide ermöglichen die Zusammenarbeit zwischen Personen im staatenlosen Zustand; beide geben zu, dass diese Zusammenarbeit unsicher ist, weil einige Personen die Regeln brechen werden (obwohl nur Locke sie dafür verurteilt). In beiden Fällen ist es die mit dieser Zusammenarbeit verbundene Unsicherheit, die der Zivilregierung die Legitimität verschafft. Wo Hobbes Angst hatte, war Locke nur besorgt; daher steht Hobbes panische Flucht aus dem natürlichen Zustand der Menschheit in den sichersten Hafen in scharfem Kontrast zu Lockes beiläufigem Spaziergang in die Zivilgesellschaft, der Optionen kritisch prüft, bevor er sich festlegt. Wie Wiley von B.C. hat der Hobbes’sche Naturmensch eine solche Angst vor Wasser, dass er beim ersten Anzeichen von Regen übereilt in die nächste und tiefste Höhle rennt, während der Locke’sche Naturmensch, dem die Phobie fehlt, obwohl er das Nass immer noch nicht mag, eher beiläufig reagiert , auch wenn er in eine ähnliche Richtung geht. Inhaltlich beruhen die Unterschiede, die diesen Reaktionen zugrunde liegen, auf dem Gegensatz zwischen Hobbes' Naturgesetz, das auf Selbsterhaltung beruht, und Lockes umfassenderem, wenn auch nie spezifisch offenbartem Körper des Naturgesetzes. Der Unterschied bezieht sich nicht auf die „menschliche Natur“, was auch immer diese Chimäre sein mag; es bezieht sich auf unterschiedliche Einschätzungen darüber, welche Aspekte des kollektiven oder sozialen Lebens vernünftigerweise und sinnvollerweise als vor und daher getrennt von der im Wesentlichen willkürlichen und instrumentellen Ausübung der Zivilregierung angesehen werden können. Die explizite untergeordnete Prämisse ist, dass das Politische das Vorpolitische weder verletzen noch modifizieren kann; sie kann nur die Umgebung und die Bedingungen beeinflussen, innerhalb derer sich die vorpolitischen Gegebenheiten manifestieren. Das Mittel, das beide Philosophen zu diesem Zweck verwendeten, war das gleiche – Naturgesetz, in einen Naturzustand hineingelesen –, und dies erleichtert sowohl den Vergleich als auch den Kontrast. Auch hier liegt der Hauptunterschied in der Betonung – wo Locke den hobbesschen natürlichen Menschen mit großzügigem Geist als Regel annimmt143, nimmt Hobbes das Lockesche Tier144 als seine Regel.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21"/>
        <w:keepNext w:val="false"/>
        <w:keepLines w:val="false"/>
        <w:widowControl w:val="false"/>
        <w:numPr>
          <w:ilvl w:val="0"/>
          <w:numId w:val="17"/>
        </w:numPr>
        <w:shd w:val="clear" w:color="auto" w:fill="auto"/>
        <w:tabs>
          <w:tab w:val="clear" w:pos="720"/>
          <w:tab w:val="left" w:pos="645" w:leader="none"/>
        </w:tabs>
        <w:bidi w:val="0"/>
        <w:spacing w:lineRule="auto" w:line="240" w:before="0" w:after="0"/>
        <w:ind w:left="0" w:right="0" w:firstLine="260"/>
        <w:jc w:val="both"/>
        <w:rPr/>
      </w:pPr>
      <w:r>
        <w:rPr>
          <w:color w:val="000000"/>
          <w:spacing w:val="0"/>
          <w:w w:val="100"/>
          <w:shd w:fill="auto" w:val="clear"/>
          <w:lang w:val="en-US" w:eastAsia="en-US" w:bidi="en-US"/>
        </w:rPr>
        <w:t>Locke, Zweite Abhandlung, Kap. IX, Abschn. 124-6, S. 395-6.</w:t>
      </w:r>
    </w:p>
    <w:p>
      <w:pPr>
        <w:pStyle w:val="Flietext21"/>
        <w:keepNext w:val="false"/>
        <w:keepLines w:val="false"/>
        <w:widowControl w:val="false"/>
        <w:numPr>
          <w:ilvl w:val="0"/>
          <w:numId w:val="17"/>
        </w:numPr>
        <w:shd w:val="clear" w:color="auto" w:fill="auto"/>
        <w:tabs>
          <w:tab w:val="clear" w:pos="720"/>
          <w:tab w:val="left" w:pos="645" w:leader="none"/>
        </w:tabs>
        <w:bidi w:val="0"/>
        <w:spacing w:before="0" w:after="0"/>
        <w:ind w:left="0" w:right="0" w:firstLine="260"/>
        <w:jc w:val="both"/>
        <w:rPr/>
      </w:pPr>
      <w:r>
        <w:rPr>
          <w:color w:val="000000"/>
          <w:spacing w:val="0"/>
          <w:w w:val="100"/>
          <w:shd w:fill="auto" w:val="clear"/>
          <w:lang w:val="en-US" w:eastAsia="en-US" w:bidi="en-US"/>
        </w:rPr>
        <w:t>Locke, Zweite Abhandlung, Kap. III, Abschn. 21, Zeilen 2-3, p. 323.</w:t>
      </w:r>
    </w:p>
    <w:p>
      <w:pPr>
        <w:pStyle w:val="Flietext21"/>
        <w:keepNext w:val="false"/>
        <w:keepLines w:val="false"/>
        <w:widowControl w:val="false"/>
        <w:numPr>
          <w:ilvl w:val="0"/>
          <w:numId w:val="17"/>
        </w:numPr>
        <w:shd w:val="clear" w:color="auto" w:fill="auto"/>
        <w:tabs>
          <w:tab w:val="clear" w:pos="720"/>
          <w:tab w:val="left" w:pos="645" w:leader="none"/>
        </w:tabs>
        <w:bidi w:val="0"/>
        <w:spacing w:lineRule="auto" w:line="220" w:before="0" w:after="0"/>
        <w:ind w:left="0" w:right="0" w:firstLine="260"/>
        <w:jc w:val="both"/>
        <w:rPr/>
      </w:pPr>
      <w:r>
        <w:rPr>
          <w:color w:val="000000"/>
          <w:spacing w:val="0"/>
          <w:w w:val="100"/>
          <w:shd w:fill="auto" w:val="clear"/>
          <w:lang w:val="en-US" w:eastAsia="en-US" w:bidi="en-US"/>
        </w:rPr>
        <w:t>Locke, Zweite Abhandlung, Kap. III, Abschn. 16, Zeilen 1-5, p. 319.</w:t>
      </w:r>
    </w:p>
    <w:p>
      <w:pPr>
        <w:pStyle w:val="Flietext21"/>
        <w:keepNext w:val="false"/>
        <w:keepLines w:val="false"/>
        <w:widowControl w:val="false"/>
        <w:numPr>
          <w:ilvl w:val="0"/>
          <w:numId w:val="17"/>
        </w:numPr>
        <w:shd w:val="clear" w:color="auto" w:fill="auto"/>
        <w:tabs>
          <w:tab w:val="clear" w:pos="720"/>
          <w:tab w:val="left" w:pos="645" w:leader="none"/>
        </w:tabs>
        <w:bidi w:val="0"/>
        <w:spacing w:before="0" w:after="200"/>
        <w:ind w:left="0" w:right="0" w:firstLine="260"/>
        <w:jc w:val="both"/>
        <w:rPr/>
      </w:pPr>
      <w:r>
        <w:rPr>
          <w:color w:val="000000"/>
          <w:spacing w:val="0"/>
          <w:w w:val="100"/>
          <w:shd w:fill="auto" w:val="clear"/>
          <w:lang w:val="en-US" w:eastAsia="en-US" w:bidi="en-US"/>
        </w:rPr>
        <w:t>Locke, Zweite Abhandlung, Kap. XIX, Abschn. 230, p. 467.</w:t>
      </w:r>
    </w:p>
    <w:p>
      <w:pPr>
        <w:pStyle w:val="Flietext1"/>
        <w:keepNext w:val="false"/>
        <w:keepLines w:val="false"/>
        <w:widowControl w:val="false"/>
        <w:shd w:val="clear" w:color="auto" w:fill="auto"/>
        <w:bidi w:val="0"/>
        <w:spacing w:before="0" w:after="260"/>
        <w:ind w:left="0" w:right="0" w:firstLine="280"/>
        <w:jc w:val="both"/>
        <w:rPr/>
      </w:pPr>
      <w:r>
        <w:rPr>
          <w:color w:val="000000"/>
          <w:spacing w:val="0"/>
          <w:w w:val="100"/>
          <w:shd w:fill="auto" w:val="clear"/>
          <w:lang w:val="en-US" w:eastAsia="en-US" w:bidi="en-US"/>
        </w:rPr>
        <w:t>Für Hobbes war der natürliche Zustand der Menschheit sowohl vorpolitisch als auch vorsozial; Infolgedessen bestand der Vertrag zwischen jeder Person und jeder anderen Person mit dem Souverän, dem Empfänger von Befugnissen im Rahmen des Vertrags, begrenzt nur durch vorsichtige Einschätzungen, wie seine Macht am besten aufrechterhalten werden kann. Nicht so für Locke. Sein Naturzustand ist in gewissem Sinne vorpolitisch (obwohl es schwierig ist, einen rein unpolitischen Zustand ernst zu nehmen, der sowohl Privateigentum als auch Geld umfasst); sie war jedoch definitiv nicht vorsozial, denn „er ​​bestand darauf, dass viele soziale Institutionen einen natürlichen Ursprung im vorpolitischen Staat haben.“145 Die menschliche Geselligkeit ist natürlich und vorvertraglich, was es uns ermöglicht, das zu postulieren, was im Wesentlichen eine Zwei ist -Teilvertrag: Der erste bildet eine Gemeinschaft, und der zweite wählt eine Regierung. Da die Gesellschaft vor dem Staat existierte und mit ihr die Naturrechte tiefgreifender und präziser waren als die der Selbstverteidigung, muss die Lockean-Regierung die Naturrechte als Grenzen ihrer legitimen Macht akzeptieren. Der Gesellschaftsvertrag von Locke setzt sowohl der Regierung als auch den Menschen echte Grenzen – Gehorsam für die Untertanen und die Einhaltung vorvertraglicher Naturrechte für die Regierung. Sowohl die formale Begrenzung der Regierung als auch die Logik, die sie wirksam macht, sind für Locke vorhanden; Der Wunsch, zum natürlichen Zustand der Menschheit zurückzukehren, ist irrational und wahnsinnig, eine Katastrophe, der fast jede Tyrannei vorzuziehen ist, aber eine Rückkehr zu einem Lockeschen Naturzustand ist nur unbequem. Obwohl für beide Schemata die Möglichkeit eines Rechts auf Revolution besteht, kann nur das Argument von Locke sie zu einer praktikablen und glaubwürdigen Technik machen, die sowohl die logische Grundlage als auch den politischen Raum (d der Anführer) für eine Diskussion über Legitimität.</w:t>
      </w:r>
    </w:p>
    <w:p>
      <w:pPr>
        <w:pStyle w:val="Flietext21"/>
        <w:keepNext w:val="false"/>
        <w:keepLines w:val="false"/>
        <w:widowControl w:val="false"/>
        <w:numPr>
          <w:ilvl w:val="0"/>
          <w:numId w:val="17"/>
        </w:numPr>
        <w:shd w:val="clear" w:color="auto" w:fill="auto"/>
        <w:tabs>
          <w:tab w:val="clear" w:pos="720"/>
          <w:tab w:val="left" w:pos="645" w:leader="none"/>
        </w:tabs>
        <w:bidi w:val="0"/>
        <w:spacing w:lineRule="auto" w:line="240" w:before="0" w:after="0"/>
        <w:ind w:left="0" w:right="0" w:firstLine="260"/>
        <w:jc w:val="left"/>
        <w:rPr/>
      </w:pPr>
      <w:r>
        <w:rPr>
          <w:color w:val="000000"/>
          <w:spacing w:val="0"/>
          <w:w w:val="100"/>
          <w:shd w:fill="auto" w:val="clear"/>
          <w:lang w:val="en-US" w:eastAsia="en-US" w:bidi="en-US"/>
        </w:rPr>
        <w:t>Hobbes, Leviathan, Teil I, Kap. 14, p. 200.</w:t>
      </w:r>
    </w:p>
    <w:p>
      <w:pPr>
        <w:pStyle w:val="Flietext21"/>
        <w:keepNext w:val="false"/>
        <w:keepLines w:val="false"/>
        <w:widowControl w:val="false"/>
        <w:numPr>
          <w:ilvl w:val="0"/>
          <w:numId w:val="17"/>
        </w:numPr>
        <w:shd w:val="clear" w:color="auto" w:fill="auto"/>
        <w:tabs>
          <w:tab w:val="clear" w:pos="720"/>
          <w:tab w:val="left" w:pos="645" w:leader="none"/>
        </w:tabs>
        <w:bidi w:val="0"/>
        <w:spacing w:before="0" w:after="200"/>
        <w:ind w:left="0" w:right="0" w:firstLine="260"/>
        <w:jc w:val="left"/>
        <w:rPr/>
      </w:pPr>
      <w:r>
        <w:rPr>
          <w:color w:val="000000"/>
          <w:spacing w:val="0"/>
          <w:w w:val="100"/>
          <w:shd w:fill="auto" w:val="clear"/>
          <w:lang w:val="en-US" w:eastAsia="en-US" w:bidi="en-US"/>
        </w:rPr>
        <w:t>Locke, Zweite Abhandlung, Kap. III, Abschn. 16, Zeilen 13-20, S. 319-20.</w:t>
      </w:r>
    </w:p>
    <w:p>
      <w:pPr>
        <w:pStyle w:val="Flietext1"/>
        <w:keepNext w:val="false"/>
        <w:keepLines w:val="false"/>
        <w:widowControl w:val="false"/>
        <w:shd w:val="clear" w:color="auto" w:fill="auto"/>
        <w:bidi w:val="0"/>
        <w:spacing w:lineRule="auto" w:line="252" w:before="0" w:after="280"/>
        <w:ind w:left="0" w:right="0" w:firstLine="280"/>
        <w:jc w:val="both"/>
        <w:rPr/>
      </w:pPr>
      <w:r>
        <w:rPr>
          <w:color w:val="000000"/>
          <w:spacing w:val="0"/>
          <w:w w:val="100"/>
          <w:shd w:fill="auto" w:val="clear"/>
          <w:lang w:val="en-US" w:eastAsia="en-US" w:bidi="en-US"/>
        </w:rPr>
        <w:t>Hier werden zwei Punkte angesprochen, die leicht verwechselt werden können. Erstens kann argumentiert werden, dass der Vorschlag einer „natürlichen“ Gesellschaft (oder, um überladene Worte zu vermeiden, einer Gesellschaft, die logisch und/oder historisch vor der Regierungsbildung liegt) eine Einheit schafft, die auf vertraglicher oder ähnlicher Grundlage existieren kann Bedingungen mit einem Souverän auf ziemlich gleicher Basis, wobei ein solcher Vertrag zweischneidig ist. Dies wäre selbst dann der Fall, wenn ein Schriftsteller, der ein solches Argument anwendet, die natürlichen Rechte insgesamt leugnen und die Regel nur durch Bezugnahme auf den Gemeinschaftswillen einschränken würde. Hobbes schließt diese Option durch seine Gruppenpsychologie entschieden ab – die Gruppe existiert nur als Funktion des Führers und als Ausdruck der Einheit seines Willens, die Gruppe kann nicht gegen den Führer ausgespielt werden oder unabhängig agieren. Zweitens können diesem Argument natürliche Rechte hinzugefügt werden, wodurch die Zusicherung doppelt sicher ist, wenn auch auf Kosten des Eingeständnisses eines Elements inhärenter Spannungen und potenzieller Widersprüche. Wahre „natürliche“ Rechte, könnten sie endgültig festgestellt werden, würden selbst eine Hobbes’sche Regierung binden – das heißt sogar eine Regierung einer politischen Gesellschaft, der es an natürlichem Zusammenhalt mangelte und die nur durch Zwang zusammengehalten würde. Wenn es solche Rechte gibt, wird die Behauptung, dass die soziale Einheit von Natur aus zusammenhängend ist und den Souverän eher zu einem Luxus als zu einer unmittelbaren Notwendigkeit macht, zu einem praktischen Vorschlag, der „natürliche“ Rechte durchsetzbar macht – das heißt, sie macht ein „Recht auf Revolution“ plausibel .“</w:t>
      </w:r>
    </w:p>
    <w:p>
      <w:pPr>
        <w:pStyle w:val="Flietext21"/>
        <w:keepNext w:val="false"/>
        <w:keepLines w:val="false"/>
        <w:widowControl w:val="false"/>
        <w:numPr>
          <w:ilvl w:val="0"/>
          <w:numId w:val="17"/>
        </w:numPr>
        <w:shd w:val="clear" w:color="auto" w:fill="auto"/>
        <w:tabs>
          <w:tab w:val="clear" w:pos="720"/>
          <w:tab w:val="left" w:pos="625" w:leader="none"/>
        </w:tabs>
        <w:bidi w:val="0"/>
        <w:spacing w:lineRule="auto" w:line="213" w:before="0" w:after="200"/>
        <w:ind w:left="0" w:right="0" w:firstLine="280"/>
        <w:jc w:val="both"/>
        <w:rPr/>
      </w:pPr>
      <w:r>
        <w:rPr>
          <w:color w:val="000000"/>
          <w:spacing w:val="0"/>
          <w:w w:val="100"/>
          <w:shd w:fill="auto" w:val="clear"/>
          <w:lang w:val="en-US" w:eastAsia="en-US" w:bidi="en-US"/>
        </w:rPr>
        <w:t>Sterling Power Lamprecht, The Moral and Political Philosophy of John Locke (New York: Columbia University Press, 1918), p. 131.</w:t>
      </w:r>
    </w:p>
    <w:p>
      <w:pPr>
        <w:pStyle w:val="Flietext1"/>
        <w:keepNext w:val="false"/>
        <w:keepLines w:val="false"/>
        <w:widowControl w:val="false"/>
        <w:shd w:val="clear" w:color="auto" w:fill="auto"/>
        <w:bidi w:val="0"/>
        <w:spacing w:before="0" w:after="260"/>
        <w:ind w:left="0" w:right="0" w:firstLine="280"/>
        <w:jc w:val="both"/>
        <w:rPr/>
      </w:pPr>
      <w:r>
        <w:rPr>
          <w:color w:val="000000"/>
          <w:spacing w:val="0"/>
          <w:w w:val="100"/>
          <w:shd w:fill="auto" w:val="clear"/>
          <w:lang w:val="en-US" w:eastAsia="en-US" w:bidi="en-US"/>
        </w:rPr>
        <w:t>Das liegt daran, dass der Lockesche Naturzustand so gutartig und gut organisiert ist, dass es schwierig ist, ihn ganz ernst zu nehmen. Naturrechte sind so offensichtlich, dass sie spontan anerkannt werden. Was diese Rechte genau beinhalteten, hat Locke nie klar gesagt, da dies immer „neben meinem gegenwärtigen Zweck“146 war als Diskussion über Eigentum148 ist es nicht verwunderlich, dass dieses Feature oft Diskussionen und Debatten ausgelöst hat. Nicht nur, dass er Eigentum einem vorpolitischen Zustand zuschreibt, obwohl dies an sich bedeutsam ist. Geld ist auch im vorpolitischen Zustand vorhanden, und Locke räumt dessen konventionellen Charakter ein, indem er von der „Erfindung“ des Geldes spricht.149 Locke geht noch einen Schritt weiter und leitet das Eigentumsrecht aus der unmittelbaren Gabe Gottes ab; der Naturzustand kann Geld haben oder nicht, aber er muss Eigentumsrechte haben, es wird sogar behauptet, dass Eigentumsrechte für Locke so wichtig sind, dass er sie vor dem Naturzustand selbst geschaffen hat,150 was nicht nur auf einen sozialen vorpolitischen Zustand hindeutet der Natur, sondern eine frühere vorsoziale Bedingung, die so hypothetisch und vergänglich ist, dass sie nicht einmal einer Formulierung bedarf, außer in diesem einen flüchtigen Hinweis. Es geht natürlich darum, Eigentumsrechte völlig außerhalb einer konventionellen Rechtfertigung zu stellen; Während der Genuss von Eigentum von politischer Autorität abhängig sein kann (das Ausmaß, in dem dies zutrifft, hängt davon ab, wie Hobbes'scher Lockescher Naturzustand ist), sind Eigentumsrechte als solche ganz entschieden nicht. Der Mann, der in den Pakt eintritt, der die Zivilgesellschaft einschließt, tut dies bereits als Eigentümer oder als jemand mit dem Potenzial, Eigentum zu besitzen, und Regierung ist nicht das Teilen von Beute und Privilegien auf irgendeiner willkürlichen Grundlage, sondern der Schutz von bereits bestehende Rechte.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21"/>
        <w:keepNext w:val="false"/>
        <w:keepLines w:val="false"/>
        <w:widowControl w:val="false"/>
        <w:numPr>
          <w:ilvl w:val="0"/>
          <w:numId w:val="17"/>
        </w:numPr>
        <w:shd w:val="clear" w:color="auto" w:fill="auto"/>
        <w:tabs>
          <w:tab w:val="clear" w:pos="720"/>
          <w:tab w:val="left" w:pos="639" w:leader="none"/>
        </w:tabs>
        <w:bidi w:val="0"/>
        <w:spacing w:lineRule="auto" w:line="240" w:before="0" w:after="0"/>
        <w:ind w:left="0" w:right="0" w:firstLine="240"/>
        <w:jc w:val="left"/>
        <w:rPr/>
      </w:pPr>
      <w:r>
        <w:rPr>
          <w:color w:val="000000"/>
          <w:spacing w:val="0"/>
          <w:w w:val="100"/>
          <w:shd w:fill="auto" w:val="clear"/>
          <w:lang w:val="en-US" w:eastAsia="en-US" w:bidi="en-US"/>
        </w:rPr>
        <w:t>Locke, Zweite Abhandlung, Kap. II, Abschn. 12, Zeile 10, S. 315.</w:t>
      </w:r>
    </w:p>
    <w:p>
      <w:pPr>
        <w:pStyle w:val="Flietext21"/>
        <w:keepNext w:val="false"/>
        <w:keepLines w:val="false"/>
        <w:widowControl w:val="false"/>
        <w:numPr>
          <w:ilvl w:val="0"/>
          <w:numId w:val="17"/>
        </w:numPr>
        <w:shd w:val="clear" w:color="auto" w:fill="auto"/>
        <w:tabs>
          <w:tab w:val="clear" w:pos="720"/>
          <w:tab w:val="left" w:pos="639" w:leader="none"/>
        </w:tabs>
        <w:bidi w:val="0"/>
        <w:spacing w:before="0" w:after="0"/>
        <w:ind w:left="0" w:right="0" w:firstLine="240"/>
        <w:jc w:val="left"/>
        <w:rPr/>
      </w:pPr>
      <w:r>
        <w:rPr>
          <w:color w:val="000000"/>
          <w:spacing w:val="0"/>
          <w:w w:val="100"/>
          <w:shd w:fill="auto" w:val="clear"/>
          <w:lang w:val="en-US" w:eastAsia="en-US" w:bidi="en-US"/>
        </w:rPr>
        <w:t>Sabine, Geschichte der politischen Theorie, S. 528.</w:t>
      </w:r>
    </w:p>
    <w:p>
      <w:pPr>
        <w:pStyle w:val="Flietext21"/>
        <w:keepNext w:val="false"/>
        <w:keepLines w:val="false"/>
        <w:widowControl w:val="false"/>
        <w:numPr>
          <w:ilvl w:val="0"/>
          <w:numId w:val="17"/>
        </w:numPr>
        <w:shd w:val="clear" w:color="auto" w:fill="auto"/>
        <w:tabs>
          <w:tab w:val="clear" w:pos="720"/>
          <w:tab w:val="left" w:pos="639" w:leader="none"/>
        </w:tabs>
        <w:bidi w:val="0"/>
        <w:spacing w:lineRule="auto" w:line="220" w:before="0" w:after="0"/>
        <w:ind w:left="0" w:right="0" w:firstLine="240"/>
        <w:jc w:val="left"/>
        <w:rPr/>
      </w:pPr>
      <w:r>
        <w:rPr>
          <w:color w:val="000000"/>
          <w:spacing w:val="0"/>
          <w:w w:val="100"/>
          <w:shd w:fill="auto" w:val="clear"/>
          <w:lang w:val="en-US" w:eastAsia="en-US" w:bidi="en-US"/>
        </w:rPr>
        <w:t>Siehe Laslett, op. cit., p. 15.</w:t>
      </w:r>
    </w:p>
    <w:p>
      <w:pPr>
        <w:pStyle w:val="Flietext21"/>
        <w:keepNext w:val="false"/>
        <w:keepLines w:val="false"/>
        <w:widowControl w:val="false"/>
        <w:numPr>
          <w:ilvl w:val="0"/>
          <w:numId w:val="17"/>
        </w:numPr>
        <w:shd w:val="clear" w:color="auto" w:fill="auto"/>
        <w:tabs>
          <w:tab w:val="clear" w:pos="720"/>
          <w:tab w:val="left" w:pos="639" w:leader="none"/>
        </w:tabs>
        <w:bidi w:val="0"/>
        <w:spacing w:before="0" w:after="0"/>
        <w:ind w:left="0" w:right="0" w:firstLine="240"/>
        <w:jc w:val="left"/>
        <w:rPr/>
      </w:pPr>
      <w:r>
        <w:rPr>
          <w:color w:val="000000"/>
          <w:spacing w:val="0"/>
          <w:w w:val="100"/>
          <w:shd w:fill="auto" w:val="clear"/>
          <w:lang w:val="en-US" w:eastAsia="en-US" w:bidi="en-US"/>
        </w:rPr>
        <w:t>Locke, Zweite Abhandlung, Kap. V, Sek. 36, Zeile 42, S. 335.</w:t>
      </w:r>
    </w:p>
    <w:p>
      <w:pPr>
        <w:pStyle w:val="Flietext21"/>
        <w:keepNext w:val="false"/>
        <w:keepLines w:val="false"/>
        <w:widowControl w:val="false"/>
        <w:numPr>
          <w:ilvl w:val="0"/>
          <w:numId w:val="17"/>
        </w:numPr>
        <w:shd w:val="clear" w:color="auto" w:fill="auto"/>
        <w:tabs>
          <w:tab w:val="clear" w:pos="720"/>
          <w:tab w:val="left" w:pos="639" w:leader="none"/>
        </w:tabs>
        <w:bidi w:val="0"/>
        <w:spacing w:lineRule="auto" w:line="220" w:before="0" w:after="200"/>
        <w:ind w:left="0" w:right="0" w:firstLine="240"/>
        <w:jc w:val="left"/>
        <w:rPr/>
      </w:pPr>
      <w:r>
        <w:rPr>
          <w:color w:val="000000"/>
          <w:spacing w:val="0"/>
          <w:w w:val="100"/>
          <w:shd w:fill="auto" w:val="clear"/>
          <w:lang w:val="en-US" w:eastAsia="en-US" w:bidi="en-US"/>
        </w:rPr>
        <w:t>Sabine, Geschichte der politischen Theorie, S. 528.</w:t>
      </w:r>
    </w:p>
    <w:p>
      <w:pPr>
        <w:pStyle w:val="Flietext1"/>
        <w:keepNext w:val="false"/>
        <w:keepLines w:val="false"/>
        <w:widowControl w:val="false"/>
        <w:shd w:val="clear" w:color="auto" w:fill="auto"/>
        <w:bidi w:val="0"/>
        <w:spacing w:before="0" w:after="0"/>
        <w:ind w:left="0" w:right="0" w:firstLine="260"/>
        <w:jc w:val="both"/>
        <w:rPr/>
      </w:pPr>
      <w:r>
        <w:rPr>
          <w:color w:val="000000"/>
          <w:spacing w:val="0"/>
          <w:w w:val="100"/>
          <w:shd w:fill="auto" w:val="clear"/>
          <w:lang w:val="en-US" w:eastAsia="en-US" w:bidi="en-US"/>
        </w:rPr>
        <w:t>Auf den ersten Blick ist das Eigentum freilich durch eine dreifache Beschränkung abgesichert:568 Erstens kann ein Mann nur das besitzen, womit er seine Arbeit vermischt (obwohl die Arbeit des Dieners nicht seine eigene, sondern die seines Herrn ist569); zweitens muss er so viel und so gut für andere hinterlassen; und drittens darf niemand so viel nehmen, dass er nicht alles verwenden kann. Diese Beschränkungen des Eigentumsrechts werden jedoch durch die Einführung des Geldes, das auch im Naturzustand existiert, außer Kraft gesetzt; Der Mensch tritt daher mit einem uneingeschränkten Eigentumsrecht in die Gesellschaft ein, und die anfängliche Einschränkung wird politisch irrelevant.</w:t>
      </w:r>
    </w:p>
    <w:p>
      <w:pPr>
        <w:pStyle w:val="Flietext1"/>
        <w:keepNext w:val="false"/>
        <w:keepLines w:val="false"/>
        <w:widowControl w:val="false"/>
        <w:shd w:val="clear" w:color="auto" w:fill="auto"/>
        <w:bidi w:val="0"/>
        <w:spacing w:before="0" w:after="0"/>
        <w:ind w:left="0" w:right="0" w:firstLine="260"/>
        <w:jc w:val="both"/>
        <w:rPr/>
      </w:pPr>
      <w:r>
        <w:rPr>
          <w:color w:val="000000"/>
          <w:spacing w:val="0"/>
          <w:w w:val="100"/>
          <w:shd w:fill="auto" w:val="clear"/>
          <w:lang w:val="en-US" w:eastAsia="en-US" w:bidi="en-US"/>
        </w:rPr>
        <w:t>Wichtig ist, dass der Einzelne im Staat ankommt und bereits diese Rechte besitzt, von denen das wichtigste, aber nicht das einzige, das Eigentum ist. Den Männern werden Rechte nicht vom Staat geschenkt, noch schaffen sie Rechte durch die Staatsbildung; vielmehr bringen sie ihre Rechte mit, wenn sie in den Staat eintreten, und die Funktion des Staates besteht darin, diese Rechte besser zu schützen, als sie im Naturzustand hätten geschützt werden können. Canavan kritisiert dies – und die Gesellschaftsvertragstheoretiker im Allgemeinen – wegen fehlender teleologischer Betonung und damit fehlender Dynamik, indem „(t)he final target only the Effectiveer Protection of the Ausgangspunkt, the Self-contained Individuum.“568 Es gibt keinen höheren Zweck, kein größeres Ziel, zu dem der Staat den Menschen voranbringt, keine Tugend, die durch den Staat erreicht wird, sondern nur den Vorteil einer erhöhten Sicherheit. Als Verurteilung mit der Schrotflinte scheitert es (als Zeuge Rousseau), aber als Angriff auf Locke ist es im Wesentlichen zutreffend. Es ist die rechtstragende Person, die in das Vertragsverhältnis eintritt; Keine Regierung könnte gegen den ursprünglichen Vertrag verstoßen, ohne ihn aufzulösen, und dieser ursprüngliche Vertrag schließt die natürlichen Rechte ein, die Locke nie in die Liste aufgenommen hat. An dieser Stelle gibt es wieder erhebliche Kontroversen. Kendall, der Locke als uneingeschränkten Mehrheitsberechtigten ansieht, besteht darauf, dass diese Rechte von einer politischen Mehrheit verletzt oder eingeschränkt wurden;151 152 153 569 Laslett räumt ein, dass „Umverteilungsbesteuerung“ und sogar „Verstaatlichung“ (wenn auch nicht ganz vollständiger Kommunismus) gerechtfertigt sein können nach den Bedingungen von Lockes Doktrin570 ungeachtet der natürlichen Rechte, räumt aber auch ein, dass dies sicherlich nicht das war, was Locke im Sinn hatte, und dass er darüber nicht glücklich gewesen wäre. 571 Weit verbreiteter ist Mabbotts Ansicht, dass Locke die Regierung „so kontrolliert, dass alle modernen Gesetze und Steuern rundweg verurteilt würden“572, oder Sabines Überzeugung, dass „Locke einen Körper von angeborenen unantastbaren individuellen Rechten geschaffen hat“573 oder Mazruis Kommentar, dass „(i) es in Locke bestimmte Rechte gibt, die ein Individuum nicht veräußern kann – nicht einmal an die Gemeinschaft“574, oder Cranstons Vorschlag, dass jede Verletzung dieser natürlichen Rechte, einschließlich des Eigentums, ob durch Tyrannen oder Mehrheit, von selbst geschehen würde Revolution rechtfertigen.575 Chernos Neubewertung, die zu dem Schluss kommt, dass Locke „nicht (wie einige gesagt haben) eine kompakte Grundlage des Eigentumsrechts vermeidet“161, scheint insgesamt einfach falsch zu sein, da er die Garantie für das Recht selbst missversteht. Der ganze Sinn von Lockes Bemühungen besteht darin, die Revolution in einigen Fällen zu rechtfertigen, und er tut dies, indem er Rechte, die dem Individuum gehören, gegen alle anderen Individuen und die Regierung selbst aufstellt, deren Verletzung Widerstand rechtfertigt – in der Tat, deren Verletzung den Übertreter zu „Ungeziefer“ macht. , und verdienen es, als solche behandelt zu werden.“162 Diese Rechte sind natürliche Rechte, diktiert von einem durch die Vernunft erkennbaren Naturgesetz, und sie sind vorpolitisch und unkonventionell.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1"/>
        <w:keepNext w:val="false"/>
        <w:keepLines w:val="false"/>
        <w:widowControl w:val="false"/>
        <w:shd w:val="clear" w:color="auto" w:fill="auto"/>
        <w:bidi w:val="0"/>
        <w:spacing w:before="0" w:after="300"/>
        <w:ind w:left="0" w:right="0" w:firstLine="260"/>
        <w:jc w:val="both"/>
        <w:rPr/>
      </w:pPr>
      <w:r>
        <w:rPr>
          <w:color w:val="000000"/>
          <w:spacing w:val="0"/>
          <w:w w:val="100"/>
          <w:shd w:fill="auto" w:val="clear"/>
          <w:lang w:val="en-US" w:eastAsia="en-US" w:bidi="en-US"/>
        </w:rPr>
        <w:t>Um es etwas anders auszudrücken: Lockes stark verkürzte und erklärtermaßen unvollständige Liste der Naturrechte fällt nicht nur durch ihren Inhalt, sondern auch durch ihren Mangel auf – sie enthält keine spezifisch politischen Rechte, wie etwa das Recht auf Selbstbestimmung, oder Selbstverwaltung oder „ein Mann, eine Stimme“ oder die Wählbarkeit für ein Amt. „Natürliche Rechte geben dem Menschen nur das, was man ein indirektes Interesse an der Regierung nennen könnte, da die Regierung für die Wahrung dieser natürlichen Rechte verantwortlich ist.“ (Wollheim)163 Die Notwendigkeit einer Regierung impliziert in erster Linie, dass der Mensch in gewissem Sinne kein politisches Tier ist; Das Fehlen jeglicher politischer Rechte impliziert, dass er kein politisches Tier im weiteren Sinne ist und die Politik auf Aktivitäten zur Verteidigung privater Interessen reduziert. Es könnte sein, dass eine Regierung einige oder alle dieser Rechte ganz oder teilweise einigen anbietet oder an alle seine Bürger, aber das Versäumnis, dies zu tun, spricht in keiner Weise für die Frage der Legitimität. Das Recht des Volkes liegt nicht in demokratischen Versammlungen, die „natürliche“ Rechte genauso zerstören können wie jede andere Regierungsform, sondern in ihrem Recht, sich gegen jede Regierung zu erheben, falls diese Regierung systematisch die natürlichen vorvertraglichen Rechte des Menschen verletzt einschließlich, aber nicht beschränkt auf dieses zentrale Recht und Urbild der Naturrechte, das Recht auf Eigentum. Das Recht auf Revolution kommt Locke einem politischen Recht am nächsten, und im Gegensatz zu seinen anderen Rechten ist es in erster Linie und von Natur aus negativ und defensiv.</w:t>
      </w:r>
    </w:p>
    <w:p>
      <w:pPr>
        <w:pStyle w:val="Flietext21"/>
        <w:keepNext w:val="false"/>
        <w:keepLines w:val="false"/>
        <w:widowControl w:val="false"/>
        <w:numPr>
          <w:ilvl w:val="0"/>
          <w:numId w:val="18"/>
        </w:numPr>
        <w:shd w:val="clear" w:color="auto" w:fill="auto"/>
        <w:tabs>
          <w:tab w:val="clear" w:pos="720"/>
          <w:tab w:val="left" w:pos="639" w:leader="none"/>
        </w:tabs>
        <w:bidi w:val="0"/>
        <w:spacing w:lineRule="auto" w:line="192" w:before="0" w:after="0"/>
        <w:ind w:left="0" w:right="0" w:firstLine="240"/>
        <w:jc w:val="left"/>
        <w:rPr/>
      </w:pPr>
      <w:r>
        <w:rPr>
          <w:color w:val="000000"/>
          <w:spacing w:val="0"/>
          <w:w w:val="100"/>
          <w:shd w:fill="auto" w:val="clear"/>
          <w:lang w:val="en-US" w:eastAsia="en-US" w:bidi="en-US"/>
        </w:rPr>
        <w:t>Cranston, „John Locke und die Regierung durch Zustimmung“, S. 77.</w:t>
      </w:r>
    </w:p>
    <w:p>
      <w:pPr>
        <w:pStyle w:val="Flietext21"/>
        <w:keepNext w:val="false"/>
        <w:keepLines w:val="false"/>
        <w:widowControl w:val="false"/>
        <w:numPr>
          <w:ilvl w:val="0"/>
          <w:numId w:val="18"/>
        </w:numPr>
        <w:shd w:val="clear" w:color="auto" w:fill="auto"/>
        <w:tabs>
          <w:tab w:val="clear" w:pos="720"/>
          <w:tab w:val="left" w:pos="625" w:leader="none"/>
        </w:tabs>
        <w:bidi w:val="0"/>
        <w:spacing w:lineRule="auto" w:line="213" w:before="0" w:after="0"/>
        <w:ind w:left="0" w:right="0" w:firstLine="260"/>
        <w:jc w:val="both"/>
        <w:rPr/>
      </w:pPr>
      <w:r>
        <w:rPr>
          <w:color w:val="000000"/>
          <w:spacing w:val="0"/>
          <w:w w:val="100"/>
          <w:shd w:fill="auto" w:val="clear"/>
          <w:lang w:val="en-US" w:eastAsia="en-US" w:bidi="en-US"/>
        </w:rPr>
        <w:t>Melvin Cherno, „Locke on Property: A Reappraisal“, in Ethics, Bd. LXVIII Nr. 1 (Oktober 1957).</w:t>
      </w:r>
    </w:p>
    <w:p>
      <w:pPr>
        <w:pStyle w:val="Flietext21"/>
        <w:keepNext w:val="false"/>
        <w:keepLines w:val="false"/>
        <w:widowControl w:val="false"/>
        <w:numPr>
          <w:ilvl w:val="0"/>
          <w:numId w:val="18"/>
        </w:numPr>
        <w:shd w:val="clear" w:color="auto" w:fill="auto"/>
        <w:tabs>
          <w:tab w:val="clear" w:pos="720"/>
          <w:tab w:val="left" w:pos="659" w:leader="none"/>
        </w:tabs>
        <w:bidi w:val="0"/>
        <w:spacing w:lineRule="auto" w:line="192" w:before="0" w:after="0"/>
        <w:ind w:left="0" w:right="0" w:firstLine="260"/>
        <w:jc w:val="both"/>
        <w:rPr/>
      </w:pPr>
      <w:r>
        <w:rPr>
          <w:color w:val="000000"/>
          <w:spacing w:val="0"/>
          <w:w w:val="100"/>
          <w:shd w:fill="auto" w:val="clear"/>
          <w:lang w:val="en-US" w:eastAsia="en-US" w:bidi="en-US"/>
        </w:rPr>
        <w:t>Locke, Zweite Abhandlung, Kap. III, Abschn. 1, p. 319.</w:t>
      </w:r>
    </w:p>
    <w:p>
      <w:pPr>
        <w:pStyle w:val="Flietext21"/>
        <w:keepNext w:val="false"/>
        <w:keepLines w:val="false"/>
        <w:widowControl w:val="false"/>
        <w:numPr>
          <w:ilvl w:val="0"/>
          <w:numId w:val="18"/>
        </w:numPr>
        <w:shd w:val="clear" w:color="auto" w:fill="auto"/>
        <w:tabs>
          <w:tab w:val="clear" w:pos="720"/>
          <w:tab w:val="left" w:pos="625" w:leader="none"/>
        </w:tabs>
        <w:bidi w:val="0"/>
        <w:spacing w:lineRule="auto" w:line="216" w:before="0" w:after="200"/>
        <w:ind w:left="0" w:right="0" w:firstLine="260"/>
        <w:jc w:val="both"/>
        <w:rPr/>
      </w:pPr>
      <w:r>
        <w:rPr>
          <w:color w:val="000000"/>
          <w:spacing w:val="0"/>
          <w:w w:val="100"/>
          <w:shd w:fill="auto" w:val="clear"/>
          <w:lang w:val="en-US" w:eastAsia="en-US" w:bidi="en-US"/>
        </w:rPr>
        <w:t>Richard Wollheim, „Demokratie“, in The Journal of the History of Ideas, Bd. XIX, Nr. 2 (April 1958), p. 127.</w:t>
      </w:r>
    </w:p>
    <w:p>
      <w:pPr>
        <w:pStyle w:val="Flietext1"/>
        <w:keepNext w:val="false"/>
        <w:keepLines w:val="false"/>
        <w:widowControl w:val="false"/>
        <w:shd w:val="clear" w:color="auto" w:fill="auto"/>
        <w:bidi w:val="0"/>
        <w:spacing w:before="0" w:after="0"/>
        <w:ind w:left="0" w:right="0" w:firstLine="260"/>
        <w:jc w:val="both"/>
        <w:rPr/>
      </w:pPr>
      <w:r>
        <w:rPr>
          <w:color w:val="000000"/>
          <w:spacing w:val="0"/>
          <w:w w:val="100"/>
          <w:shd w:fill="auto" w:val="clear"/>
          <w:lang w:val="en-US" w:eastAsia="en-US" w:bidi="en-US"/>
        </w:rPr>
        <w:t>Ungeachtet einiger Autoren ist es nicht schwierig, die apolitische Natur von Lockes natürlichen Rechten mit seinem angeblichen Majoritarismus in Einklang zu bringen. Locke vertrat die Auffassung, dass eine einstimmige Zustimmung notwendig sei, um eine Regierung zu gründen und eine Zivilgesellschaft einzurichten – „…the fiction of a social contract must be supported out with the another fiction of unanimous consent“164 –, während danach Mehrheitsentscheidungen angemessen seien, mit der Begründung, dass diese einstimmige Zustimmung galt dem Vorschlag, eine Gemeinschaft zu bilden, und Mehrheitsbeschlüsse sind der einzig praktikable Weg, dies zu verwirklichen.165 Einige wurden durch diesen Vorschlag schwer in die Irre geführt; Kendall beharrt darauf, dass Lockeanismus tout court Majoritarismus ist, und obwohl Locke Vorbehalte gehabt haben mag, bleiben diese in seinem Kopf und erscheinen nicht in den Abhandlungen.166 Lamprecht, vorsichtiger, schlägt vor, dass für Locke „die einzig angemessene und sichere Regierungsform eine ist Demokratie, in der die gesetzgebende Gewalt einer Versammlung übertragen wird“167, obwohl er hastig leugnet, dass Locke „eine Demokratie in irgendeiner extremen Form errichten“ wollte168 – und natürlich ist „angemessen und sicher“ eine wesentlich schwächere Qualifikation als „legitim“.</w:t>
      </w:r>
    </w:p>
    <w:p>
      <w:pPr>
        <w:pStyle w:val="Flietext1"/>
        <w:keepNext w:val="false"/>
        <w:keepLines w:val="false"/>
        <w:widowControl w:val="false"/>
        <w:shd w:val="clear" w:color="auto" w:fill="auto"/>
        <w:bidi w:val="0"/>
        <w:spacing w:before="0" w:after="260"/>
        <w:ind w:left="0" w:right="0" w:firstLine="260"/>
        <w:jc w:val="both"/>
        <w:rPr/>
      </w:pPr>
      <w:r>
        <w:rPr>
          <w:color w:val="000000"/>
          <w:spacing w:val="0"/>
          <w:w w:val="100"/>
          <w:shd w:fill="auto" w:val="clear"/>
          <w:lang w:val="en-US" w:eastAsia="en-US" w:bidi="en-US"/>
        </w:rPr>
        <w:t>Eine solche Analyse verwechselt ein kontingentes Merkmal von Locke mit dem Wesen, einen Zufall mit einer Definition. Die der Mehrheitsbestimmung explizit anvertraute Einzelentscheidung ist die Wahl einer Verfassungsform – Monarchie, Adel, Demokratie –, nicht die laufende Bestimmung öffentlicher Angelegenheiten.169 Weitaus wichtiger ist der Handlungsspielraum offen für jede gewählte Verfassungsform – sie darf unter keinen Umständen Naturrechte verletzen, und dies ergibt sich nicht aus einer bestimmten Vertragsklausel, sondern aus der Natur von Gesellschaft und Staat. Obwohl gelegentliche Übergriffe tapfer ertragen werden können (und werden und sollten), schafft wiederholter Übergriff einen Zustand des Krieges zwischen Regierung und Volk.170 Seliger besteht zu Recht darauf, Locke, den Liberalen, gegenüber Locke, dem Demokraten, zu betonen, und hält es für sehr wichtig, dies zu ertragen Denken Sie an das Ausmaß, in dem Locke (und tatsächlich Seligers gesamter Liberalismus) bereit war, mit starken und undemokratischen Regierungen zusammenzuarbeiten171 – aber nicht mit willkürlichen Regierungen, und die Unterscheidung ist entscheidend. Die einzige Rechtfertigung des Staates besteht darin, dass er die Unannehmlichkeiten des Naturzustands korrigiert, von denen einer das Fehlen eines bekannten und festgelegten Rechts ist. Jede willkürliche Handlung seitens der Regierung trifft den Kern der Rechtfertigung der Regierung, aber die undemokratische Natur der Regierung muss das nicht. Locke wendet sich gegen willkürliche Regierung als solche und gegen undemokratische Regierung nicht als solche, sondern nur unter und für bestimmte Umstände.</w:t>
      </w:r>
    </w:p>
    <w:p>
      <w:pPr>
        <w:pStyle w:val="Flietext21"/>
        <w:keepNext w:val="false"/>
        <w:keepLines w:val="false"/>
        <w:widowControl w:val="false"/>
        <w:numPr>
          <w:ilvl w:val="0"/>
          <w:numId w:val="18"/>
        </w:numPr>
        <w:shd w:val="clear" w:color="auto" w:fill="auto"/>
        <w:tabs>
          <w:tab w:val="clear" w:pos="720"/>
          <w:tab w:val="left" w:pos="659" w:leader="none"/>
        </w:tabs>
        <w:bidi w:val="0"/>
        <w:spacing w:lineRule="auto" w:line="240" w:before="0" w:after="0"/>
        <w:ind w:left="0" w:right="0" w:firstLine="260"/>
        <w:jc w:val="both"/>
        <w:rPr/>
      </w:pPr>
      <w:r>
        <w:rPr>
          <w:color w:val="000000"/>
          <w:spacing w:val="0"/>
          <w:w w:val="100"/>
          <w:shd w:fill="auto" w:val="clear"/>
          <w:lang w:val="en-US" w:eastAsia="en-US" w:bidi="en-US"/>
        </w:rPr>
        <w:t>Sabine, Geschichte der politischen Theorie, S. 533.</w:t>
      </w:r>
    </w:p>
    <w:p>
      <w:pPr>
        <w:pStyle w:val="Flietext21"/>
        <w:keepNext w:val="false"/>
        <w:keepLines w:val="false"/>
        <w:widowControl w:val="false"/>
        <w:numPr>
          <w:ilvl w:val="0"/>
          <w:numId w:val="18"/>
        </w:numPr>
        <w:shd w:val="clear" w:color="auto" w:fill="auto"/>
        <w:tabs>
          <w:tab w:val="clear" w:pos="720"/>
          <w:tab w:val="left" w:pos="639" w:leader="none"/>
        </w:tabs>
        <w:bidi w:val="0"/>
        <w:spacing w:lineRule="auto" w:line="220" w:before="0" w:after="0"/>
        <w:ind w:left="0" w:right="0" w:firstLine="240"/>
        <w:jc w:val="left"/>
        <w:rPr/>
      </w:pPr>
      <w:r>
        <w:rPr>
          <w:color w:val="000000"/>
          <w:spacing w:val="0"/>
          <w:w w:val="100"/>
          <w:shd w:fill="auto" w:val="clear"/>
          <w:lang w:val="en-US" w:eastAsia="en-US" w:bidi="en-US"/>
        </w:rPr>
        <w:t>Locke, Zweite Abhandlung, Kap. VIII, Abschn. 98, p. 376.</w:t>
      </w:r>
    </w:p>
    <w:p>
      <w:pPr>
        <w:pStyle w:val="Flietext21"/>
        <w:keepNext w:val="false"/>
        <w:keepLines w:val="false"/>
        <w:widowControl w:val="false"/>
        <w:numPr>
          <w:ilvl w:val="0"/>
          <w:numId w:val="18"/>
        </w:numPr>
        <w:shd w:val="clear" w:color="auto" w:fill="auto"/>
        <w:tabs>
          <w:tab w:val="clear" w:pos="720"/>
          <w:tab w:val="left" w:pos="639" w:leader="none"/>
        </w:tabs>
        <w:bidi w:val="0"/>
        <w:spacing w:before="0" w:after="0"/>
        <w:ind w:left="0" w:right="0" w:firstLine="240"/>
        <w:jc w:val="left"/>
        <w:rPr/>
      </w:pPr>
      <w:r>
        <w:rPr>
          <w:i/>
          <w:iCs/>
          <w:color w:val="000000"/>
          <w:spacing w:val="0"/>
          <w:w w:val="100"/>
          <w:shd w:fill="auto" w:val="clear"/>
          <w:lang w:val="en-US" w:eastAsia="en-US" w:bidi="en-US"/>
        </w:rPr>
        <w:t>Kendall, John Locke und die Mehrheitsregel.</w:t>
      </w:r>
    </w:p>
    <w:p>
      <w:pPr>
        <w:pStyle w:val="Flietext21"/>
        <w:keepNext w:val="false"/>
        <w:keepLines w:val="false"/>
        <w:widowControl w:val="false"/>
        <w:numPr>
          <w:ilvl w:val="0"/>
          <w:numId w:val="18"/>
        </w:numPr>
        <w:shd w:val="clear" w:color="auto" w:fill="auto"/>
        <w:tabs>
          <w:tab w:val="clear" w:pos="720"/>
          <w:tab w:val="left" w:pos="639" w:leader="none"/>
        </w:tabs>
        <w:bidi w:val="0"/>
        <w:spacing w:lineRule="auto" w:line="220" w:before="0" w:after="0"/>
        <w:ind w:left="0" w:right="0" w:firstLine="240"/>
        <w:jc w:val="left"/>
        <w:rPr/>
      </w:pPr>
      <w:r>
        <w:rPr>
          <w:color w:val="000000"/>
          <w:spacing w:val="0"/>
          <w:w w:val="100"/>
          <w:shd w:fill="auto" w:val="clear"/>
          <w:lang w:val="en-US" w:eastAsia="en-US" w:bidi="en-US"/>
        </w:rPr>
        <w:t>Lamprecht, Moral and Political Philosophy of John Locke, p. 139.</w:t>
      </w:r>
    </w:p>
    <w:p>
      <w:pPr>
        <w:pStyle w:val="Flietext1"/>
        <w:keepNext w:val="false"/>
        <w:keepLines w:val="false"/>
        <w:widowControl w:val="false"/>
        <w:shd w:val="clear" w:color="auto" w:fill="auto"/>
        <w:bidi w:val="0"/>
        <w:spacing w:lineRule="auto" w:line="204" w:before="0" w:after="200"/>
        <w:ind w:left="0" w:right="0" w:firstLine="240"/>
        <w:jc w:val="left"/>
        <w:rPr>
          <w:sz w:val="22"/>
          <w:szCs w:val="22"/>
        </w:rPr>
      </w:pPr>
      <w:r>
        <w:rPr>
          <w:color w:val="000000"/>
          <w:spacing w:val="0"/>
          <w:w w:val="100"/>
          <w:sz w:val="22"/>
          <w:szCs w:val="22"/>
          <w:shd w:fill="auto" w:val="clear"/>
          <w:lang w:val="en-US" w:eastAsia="en-US" w:bidi="en-US"/>
        </w:rPr>
        <w:t>168 Ebd.</w:t>
      </w:r>
    </w:p>
    <w:p>
      <w:pPr>
        <w:pStyle w:val="Flietext1"/>
        <w:keepNext w:val="false"/>
        <w:keepLines w:val="false"/>
        <w:widowControl w:val="false"/>
        <w:shd w:val="clear" w:color="auto" w:fill="auto"/>
        <w:bidi w:val="0"/>
        <w:spacing w:before="0" w:after="260"/>
        <w:ind w:left="0" w:right="0" w:firstLine="260"/>
        <w:jc w:val="both"/>
        <w:rPr/>
      </w:pPr>
      <w:r>
        <w:rPr>
          <w:color w:val="000000"/>
          <w:spacing w:val="0"/>
          <w:w w:val="100"/>
          <w:shd w:fill="auto" w:val="clear"/>
          <w:lang w:val="en-US" w:eastAsia="en-US" w:bidi="en-US"/>
        </w:rPr>
        <w:t>Dies bleibt der Fall, obwohl seine aktuelle Diskussion das Eintreten für die parlamentarische Sache in einer Kontroverse zwischen dem Parlament und dem König beinhaltet. Das hat nichts mit einer tiefen und leidenschaftlichen Hingabe an die Demokratie als solche zu tun, sondern spiegelt nur die praktischen Orientierungen, die unmittelbaren Zwecke der teils philosophischen, teils polemischen Zwei Abhandlungen wider. Locke verteidigte die parlamentarische Sache, nicht weil die Demokratie in diesem Fall die natürlichen Rechte vor der im Wesentlichen willkürlichen Ausübung königlicher Vorrechte schützte. Das relevante Kriterium für Lockes Antwort ist nicht die Lage der Streitenden auf der Achse Parlament-Monarch, sondern ihre Lage auf der Achse Naturrechte-Willkür. Um dies herauszuarbeiten, braucht man nur eine Trennung der Wege der beiden grundverschiedenen Verpflichtungsbegründungen zu vermuten. Angenommen, ein Monarch, der die natürlichen Rechte verteidigt, wird von einem populistischen Parlament bekämpft, das von einer massiven Mehrheit des Volkes unterstützt wird. Ist der Sturz dieser Monarchie durch das Argument von Locke gerechtfertigt? Offensichtlich und ausdrücklich ist sie es nicht.172 Vorausgesetzt, die Regierung selbst hält sich an die Bedingungen des ursprünglichen Vertrags, indem sie die Unannehmlichkeiten des Naturzustands beseitigt und die Naturrechte nicht verletzt, dann sieht sie sich keiner legitimen Rebellion nur deswegen gegenüber sich verändernde konstitutionelle Modeerscheinungen. Sollte die Volksmehrheit fest entschlossen sein, Naturrechte zu verletzen, wird die Verteidigung der Monarchie doppelt gerecht, aber sie würde ohne diese gerecht bleiben.</w:t>
      </w:r>
    </w:p>
    <w:p>
      <w:pPr>
        <w:pStyle w:val="Flietext21"/>
        <w:keepNext w:val="false"/>
        <w:keepLines w:val="false"/>
        <w:widowControl w:val="false"/>
        <w:numPr>
          <w:ilvl w:val="0"/>
          <w:numId w:val="19"/>
        </w:numPr>
        <w:shd w:val="clear" w:color="auto" w:fill="auto"/>
        <w:tabs>
          <w:tab w:val="clear" w:pos="720"/>
          <w:tab w:val="left" w:pos="640" w:leader="none"/>
        </w:tabs>
        <w:bidi w:val="0"/>
        <w:spacing w:lineRule="auto" w:line="240" w:before="0" w:after="0"/>
        <w:ind w:left="0" w:right="0" w:firstLine="260"/>
        <w:jc w:val="both"/>
        <w:rPr/>
      </w:pPr>
      <w:r>
        <w:rPr>
          <w:color w:val="000000"/>
          <w:spacing w:val="0"/>
          <w:w w:val="100"/>
          <w:shd w:fill="auto" w:val="clear"/>
          <w:lang w:val="en-US" w:eastAsia="en-US" w:bidi="en-US"/>
        </w:rPr>
        <w:t>Locke, Zweite Abhandlung, Kap. X, Sek. 132, Zeilen 1-15, S. 399-400.</w:t>
      </w:r>
    </w:p>
    <w:p>
      <w:pPr>
        <w:pStyle w:val="Flietext21"/>
        <w:keepNext w:val="false"/>
        <w:keepLines w:val="false"/>
        <w:widowControl w:val="false"/>
        <w:numPr>
          <w:ilvl w:val="0"/>
          <w:numId w:val="19"/>
        </w:numPr>
        <w:shd w:val="clear" w:color="auto" w:fill="auto"/>
        <w:tabs>
          <w:tab w:val="clear" w:pos="720"/>
          <w:tab w:val="left" w:pos="645" w:leader="none"/>
        </w:tabs>
        <w:bidi w:val="0"/>
        <w:spacing w:before="0" w:after="0"/>
        <w:ind w:left="0" w:right="0" w:firstLine="260"/>
        <w:jc w:val="both"/>
        <w:rPr/>
      </w:pPr>
      <w:r>
        <w:rPr>
          <w:color w:val="000000"/>
          <w:spacing w:val="0"/>
          <w:w w:val="100"/>
          <w:shd w:fill="auto" w:val="clear"/>
          <w:lang w:val="en-US" w:eastAsia="en-US" w:bidi="en-US"/>
        </w:rPr>
        <w:t>Locke, Zweite Abhandlung, Kap. XIX, Abschn. 225, p. 463. 171</w:t>
      </w:r>
    </w:p>
    <w:p>
      <w:pPr>
        <w:pStyle w:val="Flietext21"/>
        <w:keepNext w:val="false"/>
        <w:keepLines w:val="false"/>
        <w:widowControl w:val="false"/>
        <w:numPr>
          <w:ilvl w:val="0"/>
          <w:numId w:val="19"/>
        </w:numPr>
        <w:shd w:val="clear" w:color="auto" w:fill="auto"/>
        <w:tabs>
          <w:tab w:val="clear" w:pos="720"/>
          <w:tab w:val="left" w:pos="645" w:leader="none"/>
        </w:tabs>
        <w:bidi w:val="0"/>
        <w:spacing w:lineRule="auto" w:line="220" w:before="0" w:after="200"/>
        <w:ind w:left="0" w:right="0" w:firstLine="260"/>
        <w:jc w:val="both"/>
        <w:rPr/>
      </w:pPr>
      <w:r>
        <w:rPr>
          <w:color w:val="000000"/>
          <w:spacing w:val="0"/>
          <w:w w:val="100"/>
          <w:shd w:fill="auto" w:val="clear"/>
          <w:lang w:val="en-US" w:eastAsia="en-US" w:bidi="en-US"/>
        </w:rPr>
        <w:t>Seliger, Liberale Politik von John Locke.</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Warum verbringt Locke dann überhaupt Zeit damit, über Mehrheiten zu sprechen, selbst in der grob mechanistischen Form von „größter Kraft“ (was nur ein zahlenmäßig mehrheitliches Gefühl ist, wenn wir auch alle möglichen anderen Annahmen einlesen, wie im Fall von die spartanischen Heloten so deutlich zeigen)? Erstens misst er der Zustimmung als Quelle staatlicher Legitimität echte Bedeutung bei, auch wenn sie scheinbar eine gewisse Dissonanz zu seinem Thema Naturrechte erzeugt. Zweitens geht es ihm nicht nur um das Recht auf Revolution, sondern auch um die damit verbundene, wenn auch logisch getrennte Frage der Wahrscheinlichkeit einer Rebellion. Sehr vereinfacht ausgedrückt liefern die Naturrechte die Antwort auf die Frage „Wann sollten Menschen rebellieren?“, und der Majoritarismus in der grobmechanischen Form antwortet „Unter welchen Bedingungen wird das Recht auf Rebellion wahrscheinlich effektiv ausgeübt?“.</w:t>
      </w:r>
    </w:p>
    <w:p>
      <w:pPr>
        <w:pStyle w:val="Flietext1"/>
        <w:keepNext w:val="false"/>
        <w:keepLines w:val="false"/>
        <w:widowControl w:val="false"/>
        <w:shd w:val="clear" w:color="auto" w:fill="auto"/>
        <w:bidi w:val="0"/>
        <w:spacing w:before="0" w:after="220"/>
        <w:ind w:left="0" w:right="0" w:firstLine="280"/>
        <w:jc w:val="both"/>
        <w:rPr/>
      </w:pPr>
      <w:r>
        <w:rPr>
          <w:color w:val="000000"/>
          <w:spacing w:val="0"/>
          <w:w w:val="100"/>
          <w:shd w:fill="auto" w:val="clear"/>
          <w:lang w:val="en-US" w:eastAsia="en-US" w:bidi="en-US"/>
        </w:rPr>
        <w:t>Wenn Lockes direkte Verweise auf Demokratie und Mehrheitsherrschaft entweder taktische Überlegungen zu seinem historischen Zweck oder vorkonstitutionelle Verweise sind, was ist dann mit dem indirekten Weg über das demokratische Mittel der Zustimmung?</w:t>
      </w:r>
    </w:p>
    <w:p>
      <w:pPr>
        <w:pStyle w:val="Flietext1"/>
        <w:keepNext w:val="false"/>
        <w:keepLines w:val="false"/>
        <w:widowControl w:val="false"/>
        <w:shd w:val="clear" w:color="auto" w:fill="auto"/>
        <w:bidi w:val="0"/>
        <w:spacing w:before="0" w:after="260"/>
        <w:ind w:left="0" w:right="0" w:hanging="0"/>
        <w:jc w:val="both"/>
        <w:rPr/>
      </w:pPr>
      <w:r>
        <w:rPr>
          <w:color w:val="000000"/>
          <w:spacing w:val="0"/>
          <w:w w:val="100"/>
          <w:shd w:fill="auto" w:val="clear"/>
          <w:lang w:val="en-US" w:eastAsia="en-US" w:bidi="en-US"/>
        </w:rPr>
        <w:t>Die Grundlage des Lockeschen Arguments für die Verpflichtung ist die vertragliche Grundlage des Staates – die Verpflichtung basiert auf Zustimmung. Der Vertrag zwischen Volk und Regierung verpflichtet den Herrscher zur Wahrung bestimmter vorvertraglicher Rechte und verpflichtet das einzelne Mitglied, sich an die Erlasse der Regierung zu halten, soweit sie diese Rechte nicht verletzen. Für Kendall führt diese Zustimmung zu einem Mehrheitsargument basierend auf „den meisten Zustimmungen“173, aber auch dies geht an der Logik vorbei. Womit man einverstanden ist, ist keine bestimmte Regierungshandlung, sondern nur (einstimmig) der Vorschlag, dass eine Regierung eingesetzt wird, um die Naturrechte zu schützen und die Unannehmlichkeiten des Naturzustands zu beseitigen, und dann (mit „größter Gewalt“) zu a spezifische institutionelle Form für eine solche Regierung. Drei Eventualitäten können den Einzelnen von seinen Verpflichtungen befreien. Erstens kann er auswandern (es sei denn, er ist an eine ausdrückliche statt an eine stillschweigende Zustimmung174 gebunden – eine verwirrende Einschränkung). Zweitens kann der Staat auf seiner Seite das Abkommen brechen, indem er natürliche Rechte verletzt und sich damit in einen Kriegszustand mit dem Volk begibt. Drittens kann der Staat von außen erobert werden. Eine Person ist nicht von der Verpflichtung befreit, weil die Regierung es versäumt hat, eine populäre Laune umzusetzen, was für die Zustimmung irrelevant ist.</w:t>
      </w:r>
    </w:p>
    <w:p>
      <w:pPr>
        <w:pStyle w:val="Flietext21"/>
        <w:keepNext w:val="false"/>
        <w:keepLines w:val="false"/>
        <w:widowControl w:val="false"/>
        <w:shd w:val="clear" w:color="auto" w:fill="auto"/>
        <w:bidi w:val="0"/>
        <w:spacing w:lineRule="auto" w:line="240" w:before="0" w:after="200"/>
        <w:ind w:left="0" w:right="0" w:firstLine="260"/>
        <w:jc w:val="left"/>
        <w:rPr/>
      </w:pPr>
      <w:r>
        <w:rPr>
          <w:color w:val="000000"/>
          <w:spacing w:val="0"/>
          <w:w w:val="100"/>
          <w:shd w:fill="auto" w:val="clear"/>
          <w:lang w:val="en-US" w:eastAsia="en-US" w:bidi="en-US"/>
        </w:rPr>
        <w:t>1 Vgl. insb. Locke, Zweite Abhandlung, Kap. XIX, Abschn. 243, p. 477.</w:t>
      </w:r>
    </w:p>
    <w:p>
      <w:pPr>
        <w:pStyle w:val="Flietext1"/>
        <w:keepNext w:val="false"/>
        <w:keepLines w:val="false"/>
        <w:widowControl w:val="false"/>
        <w:shd w:val="clear" w:color="auto" w:fill="auto"/>
        <w:bidi w:val="0"/>
        <w:spacing w:before="0" w:after="0"/>
        <w:ind w:left="0" w:right="0" w:firstLine="300"/>
        <w:jc w:val="both"/>
        <w:rPr/>
      </w:pPr>
      <w:r>
        <w:rPr>
          <w:color w:val="000000"/>
          <w:spacing w:val="0"/>
          <w:w w:val="100"/>
          <w:shd w:fill="auto" w:val="clear"/>
          <w:lang w:val="en-US" w:eastAsia="en-US" w:bidi="en-US"/>
        </w:rPr>
        <w:t>Aber das Argument, das die Verpflichtung auf die Zustimmung stützt, muss weiter sagen, wie diese Zustimmung gegeben wird und wie wir wissen können, ob eine bestimmte Person zugestimmt hat. Lockes Behandlung dieser Frage ist besonders enttäuschend, insbesondere in der Art und Weise, wie er eine rein historische Herangehensweise an den Vertrag zu implizieren scheint. Es lohnt sich, die Schwäche dieses Arguments aufzuspüren, bevor man einen alternativen Ansatz vorschlägt.</w:t>
      </w:r>
    </w:p>
    <w:p>
      <w:pPr>
        <w:pStyle w:val="Flietext1"/>
        <w:keepNext w:val="false"/>
        <w:keepLines w:val="false"/>
        <w:widowControl w:val="false"/>
        <w:shd w:val="clear" w:color="auto" w:fill="auto"/>
        <w:bidi w:val="0"/>
        <w:spacing w:before="0" w:after="260"/>
        <w:ind w:left="0" w:right="0" w:firstLine="300"/>
        <w:jc w:val="both"/>
        <w:rPr/>
      </w:pPr>
      <w:r>
        <w:rPr>
          <w:color w:val="000000"/>
          <w:spacing w:val="0"/>
          <w:w w:val="100"/>
          <w:shd w:fill="auto" w:val="clear"/>
          <w:lang w:val="en-US" w:eastAsia="en-US" w:bidi="en-US"/>
        </w:rPr>
        <w:t>Der Gesellschaftsvertrag ist offensichtlich bindend für die Mitglieder der ersten Generation (hypothetisch oder real), die diese Vereinbarung formuliert hat; es gibt nur eine geringfügige logische Schwierigkeit im Fall derjenigen, die den einhelligen Wunsch teilten, eine Zivilgesellschaft zu errichten, sich aber mit der Mehrheit in der Art des zu bevorzugenden Regimes unterschieden, eine Schwierigkeit, die Locke schroff durch einen Definitionsakt beseitigte.175 Ebenso leicht als gebunden anzusehen sind Einwanderer der ersten Generation; wenn sie nicht an einen ausdrücklichen Treueeid gegenüber dem neuen Land gebunden sind, kann ein solcher Eid als durch die Einreise impliziert angesehen werden. Die Schwierigkeit nimmt für nachfolgende Generationen zu, da die Zustimmung dieses bestimmten Agenten und nicht die eines anderen relevant ist. Er schlägt vor, den Vertrag neu anzunehmen, indem man Vermögen vererbt, da das geerbte Eigentum nur zu den gleichen Bedingungen genossen werden kann, wie es der Vererber hatte, und diese Bedingungen schließen den Vertrag ein.176 Seliger sieht diese angenommene Zustimmung als eine an ausdrückliche Zustimmung und argumentiert, dass es als solches nur akzeptiert wird, wenn der Erbe nicht gleichzeitig auf Verpflichtung und Eigentum verzichtet177, aber abgesehen davon, dass die Unterscheidung zwischen „ausdrücklicher“ und „stillschweigender“ Zustimmung bedeutungslos wird, vernichtet dies einfach Lockes natürliches Eigentumsrecht . Der Einzelne verdankt sein Eigentumsrecht nicht dem Vertrag zur Gründung der Zivilgesellschaft, da dieser lediglich die Vermeidung der Unannehmlichkeiten des Naturzustands vorsieht, die entweder trivial oder überwältigend sind, je nachdem, was Locke damals zu sagen versuchte . Das Eigentumsrecht selbst ist vorvertraglich. Wenn der Eigentumstitel von der anfänglichen Gewährung und dem fortgesetzten Schutz der Zivilgesellschaft abhinge, dann würde die Vererbung von Eigentum eine mögliche Grundlage für eine vertragliche Verpflichtung darstellen, aber da das Eigentumsrecht kein konventionelles Recht ist, kann und kann diese Beziehung nicht gelten; aus dem Eigentumsrecht, das vor und außerhalb des Staates besteht, folgt daraus, dass die Vermögenserbschaft eines Individuums keinerlei Beziehung zwischen ihm und irgendeiner Regierung herstellen kann. Nur etwas außerhalb der vorpolitischen Rechten kann ein politisches Verhältnis wie eine politische Verpflichtung begründen. Sicherlich gibt es eine erheblich verbesserte Sicherheit des Eigentumsrechts, die durch die Existenz, Stabilität und Stärke einer legitimen Zivilregierung gewährt wird, aber dies wäre höchstens ein vorsichtiger Faktor, der zu einer Neigung zum Gehorsam beiträgt, und kein moralischer oder rechtlicher Faktor, der zu einer Neigung beiträgt Verpflichtung zu gehorchen. Ein Quid-pro-quo-Argument könnte plausibel vorgebracht werden, aber dies bleibt weit hinter der freien Zustimmung zurück, die Locke als Kriterium gesetzt hat. Nachdem er Eigentum von Politik getrennt hat, so dass Eigentumsrecht unpolitisch ist, verweigert Locke seine eigenen Prämissen, um die Zustimmung wieder mit Eigentum zu verschmelzen.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21"/>
        <w:keepNext w:val="false"/>
        <w:keepLines w:val="false"/>
        <w:widowControl w:val="false"/>
        <w:numPr>
          <w:ilvl w:val="0"/>
          <w:numId w:val="20"/>
        </w:numPr>
        <w:shd w:val="clear" w:color="auto" w:fill="auto"/>
        <w:tabs>
          <w:tab w:val="clear" w:pos="720"/>
          <w:tab w:val="left" w:pos="640" w:leader="none"/>
        </w:tabs>
        <w:bidi w:val="0"/>
        <w:spacing w:lineRule="auto" w:line="240" w:before="0" w:after="0"/>
        <w:ind w:left="0" w:right="0" w:firstLine="260"/>
        <w:jc w:val="left"/>
        <w:rPr/>
      </w:pPr>
      <w:r>
        <w:rPr>
          <w:color w:val="000000"/>
          <w:spacing w:val="0"/>
          <w:w w:val="100"/>
          <w:shd w:fill="auto" w:val="clear"/>
          <w:lang w:val="en-US" w:eastAsia="en-US" w:bidi="en-US"/>
        </w:rPr>
        <w:t>Kendall, John Locke und Mehrheitsregel, S. 117-8.</w:t>
      </w:r>
    </w:p>
    <w:p>
      <w:pPr>
        <w:pStyle w:val="Flietext21"/>
        <w:keepNext w:val="false"/>
        <w:keepLines w:val="false"/>
        <w:widowControl w:val="false"/>
        <w:numPr>
          <w:ilvl w:val="0"/>
          <w:numId w:val="20"/>
        </w:numPr>
        <w:shd w:val="clear" w:color="auto" w:fill="auto"/>
        <w:tabs>
          <w:tab w:val="clear" w:pos="720"/>
          <w:tab w:val="left" w:pos="645" w:leader="none"/>
        </w:tabs>
        <w:bidi w:val="0"/>
        <w:spacing w:before="0" w:after="0"/>
        <w:ind w:left="0" w:right="0" w:firstLine="260"/>
        <w:jc w:val="both"/>
        <w:rPr/>
      </w:pPr>
      <w:r>
        <w:rPr>
          <w:color w:val="000000"/>
          <w:spacing w:val="0"/>
          <w:w w:val="100"/>
          <w:shd w:fill="auto" w:val="clear"/>
          <w:lang w:val="en-US" w:eastAsia="en-US" w:bidi="en-US"/>
        </w:rPr>
        <w:t>Locke, Zweite Abhandlung, Kap. VIII, Abschn. 96, p. 374.</w:t>
      </w:r>
    </w:p>
    <w:p>
      <w:pPr>
        <w:pStyle w:val="Flietext21"/>
        <w:keepNext w:val="false"/>
        <w:keepLines w:val="false"/>
        <w:widowControl w:val="false"/>
        <w:numPr>
          <w:ilvl w:val="0"/>
          <w:numId w:val="20"/>
        </w:numPr>
        <w:shd w:val="clear" w:color="auto" w:fill="auto"/>
        <w:tabs>
          <w:tab w:val="clear" w:pos="720"/>
          <w:tab w:val="left" w:pos="645" w:leader="none"/>
        </w:tabs>
        <w:bidi w:val="0"/>
        <w:spacing w:lineRule="auto" w:line="220" w:before="0" w:after="0"/>
        <w:ind w:left="0" w:right="0" w:firstLine="260"/>
        <w:jc w:val="both"/>
        <w:rPr/>
      </w:pPr>
      <w:r>
        <w:rPr>
          <w:color w:val="000000"/>
          <w:spacing w:val="0"/>
          <w:w w:val="100"/>
          <w:shd w:fill="auto" w:val="clear"/>
          <w:lang w:val="en-US" w:eastAsia="en-US" w:bidi="en-US"/>
        </w:rPr>
        <w:t>Locke, Zweite Abhandlung, Kap. VIII, Abschn. 98, p. 376.</w:t>
      </w:r>
    </w:p>
    <w:p>
      <w:pPr>
        <w:pStyle w:val="Flietext21"/>
        <w:keepNext w:val="false"/>
        <w:keepLines w:val="false"/>
        <w:widowControl w:val="false"/>
        <w:numPr>
          <w:ilvl w:val="0"/>
          <w:numId w:val="20"/>
        </w:numPr>
        <w:shd w:val="clear" w:color="auto" w:fill="auto"/>
        <w:tabs>
          <w:tab w:val="clear" w:pos="720"/>
          <w:tab w:val="left" w:pos="645" w:leader="none"/>
        </w:tabs>
        <w:bidi w:val="0"/>
        <w:spacing w:before="0" w:after="0"/>
        <w:ind w:left="0" w:right="0" w:firstLine="260"/>
        <w:jc w:val="both"/>
        <w:rPr/>
      </w:pPr>
      <w:r>
        <w:rPr>
          <w:color w:val="000000"/>
          <w:spacing w:val="0"/>
          <w:w w:val="100"/>
          <w:shd w:fill="auto" w:val="clear"/>
          <w:lang w:val="en-US" w:eastAsia="en-US" w:bidi="en-US"/>
        </w:rPr>
        <w:t>Locke, Zweite Abhandlung, Kap. VI, Abschn. 73, Zeilen 15-22, p. 358.</w:t>
      </w:r>
    </w:p>
    <w:p>
      <w:pPr>
        <w:pStyle w:val="Flietext21"/>
        <w:keepNext w:val="false"/>
        <w:keepLines w:val="false"/>
        <w:widowControl w:val="false"/>
        <w:numPr>
          <w:ilvl w:val="0"/>
          <w:numId w:val="20"/>
        </w:numPr>
        <w:shd w:val="clear" w:color="auto" w:fill="auto"/>
        <w:tabs>
          <w:tab w:val="clear" w:pos="720"/>
          <w:tab w:val="left" w:pos="645" w:leader="none"/>
        </w:tabs>
        <w:bidi w:val="0"/>
        <w:spacing w:lineRule="auto" w:line="220" w:before="0" w:after="200"/>
        <w:ind w:left="0" w:right="0" w:firstLine="260"/>
        <w:jc w:val="left"/>
        <w:rPr/>
      </w:pPr>
      <w:r>
        <w:rPr>
          <w:color w:val="000000"/>
          <w:spacing w:val="0"/>
          <w:w w:val="100"/>
          <w:shd w:fill="auto" w:val="clear"/>
          <w:lang w:val="en-US" w:eastAsia="en-US" w:bidi="en-US"/>
        </w:rPr>
        <w:t>Seliger, Liberale Politik von John Locke, S. 270.</w:t>
      </w:r>
    </w:p>
    <w:p>
      <w:pPr>
        <w:pStyle w:val="Flietext1"/>
        <w:keepNext w:val="false"/>
        <w:keepLines w:val="false"/>
        <w:widowControl w:val="false"/>
        <w:shd w:val="clear" w:color="auto" w:fill="auto"/>
        <w:bidi w:val="0"/>
        <w:spacing w:before="0" w:after="260"/>
        <w:ind w:left="0" w:right="0" w:firstLine="260"/>
        <w:jc w:val="both"/>
        <w:rPr/>
      </w:pPr>
      <w:r>
        <w:rPr>
          <w:color w:val="000000"/>
          <w:spacing w:val="0"/>
          <w:w w:val="100"/>
          <w:shd w:fill="auto" w:val="clear"/>
          <w:vertAlign w:val="superscript"/>
          <w:lang w:val="en-US" w:eastAsia="en-US" w:bidi="en-US"/>
        </w:rPr>
        <w:t>Die Verpflichtung der Besitzlosen wird zweifelhafter erklärt. Da sie kein Vermögen hatten, das sie erben konnten, kann auch das oben untersuchte Argument nicht angewendet werden. Als Gegenleistung für ihre Zustimmung erhalten sie Schutz des Lebens, Schutz der Freiheit und Schutz des Rechts auf Eigentum, falls sie jemals eines erwerben sollten; es ist dieses Eigentumspotential, das die Besitzlosen ebenso sicher bindet wie die Besitzenden.178 Im Gegensatz zu Rousseau würde Locke nicht akzeptieren, dass die Besitzlosen in irgendeiner Weise ein schlechtes Geschäft gemacht haben, da die Zivilgesellschaft keine Eigentumsrechte aus bloßem Besitz schafft, sondern sondern schützt unparteiisch jene Rechte, die bereits innerhalb des Naturzustandes existierten. Da Naturrechte keine politischen Rechte enthalten und insbesondere kein Recht auf politische Beteiligung an der Regierung, verletzt ein System, das eine solche Beteiligung auf Eigentümer beschränkt (wie es das englische System tat), keine Naturrechte und ist daher für die Frage der Zustimmung irrelevant . Nur Eigentumsbesitzer haben ein Recht auf Beteiligung an der Regierung – nicht, wie Benn und Peters in unverzeihlicher Freiheit suggerieren, weil sie das Stimmrecht haben, weil sie „mehr zu verlieren“ haben,179 sondern vielmehr, weil die Menschen im Verhältnis zu ihnen das Stimmrecht haben sollten zur Aufrechterhaltung des Staates beitragen.180 Da Geld eine Form von Eigentum ist, würde die Einführung der Einkommensteuer viele, die allgemein als besitzlos gelten, wahlberechtigt machen, und die Verkaufssteuer würde vielleicht alle wahlberechtigt machen. Das zwanzigste Jahrhundert ist eine demokratische Ära, und das Privileg, Steuern zu zahlen, das einst auf wenige beschränkt war, wird jetzt auf viele ausgedehnt. Wie Eisenstein einmal über die Einkommensteuer bemerkte, ist „(eine) Klassensteuer zu einer Massensteuer geworden.“181</w:t>
      </w:r>
    </w:p>
    <w:p>
      <w:pPr>
        <w:pStyle w:val="Flietext21"/>
        <w:keepNext w:val="false"/>
        <w:keepLines w:val="false"/>
        <w:widowControl w:val="false"/>
        <w:numPr>
          <w:ilvl w:val="0"/>
          <w:numId w:val="20"/>
        </w:numPr>
        <w:shd w:val="clear" w:color="auto" w:fill="auto"/>
        <w:tabs>
          <w:tab w:val="clear" w:pos="720"/>
          <w:tab w:val="left" w:pos="645" w:leader="none"/>
        </w:tabs>
        <w:bidi w:val="0"/>
        <w:spacing w:lineRule="auto" w:line="192" w:before="0" w:after="0"/>
        <w:ind w:left="0" w:right="0" w:firstLine="260"/>
        <w:jc w:val="left"/>
        <w:rPr/>
      </w:pPr>
      <w:r>
        <w:rPr>
          <w:color w:val="000000"/>
          <w:spacing w:val="0"/>
          <w:w w:val="100"/>
          <w:shd w:fill="auto" w:val="clear"/>
          <w:lang w:val="en-US" w:eastAsia="en-US" w:bidi="en-US"/>
        </w:rPr>
        <w:t>Locke, Zweite Abhandlung, Kap. VIII, Abschn. 120, p. 393.</w:t>
      </w:r>
    </w:p>
    <w:p>
      <w:pPr>
        <w:pStyle w:val="Flietext21"/>
        <w:keepNext w:val="false"/>
        <w:keepLines w:val="false"/>
        <w:widowControl w:val="false"/>
        <w:numPr>
          <w:ilvl w:val="0"/>
          <w:numId w:val="20"/>
        </w:numPr>
        <w:shd w:val="clear" w:color="auto" w:fill="auto"/>
        <w:tabs>
          <w:tab w:val="clear" w:pos="720"/>
          <w:tab w:val="left" w:pos="620" w:leader="none"/>
        </w:tabs>
        <w:bidi w:val="0"/>
        <w:spacing w:lineRule="auto" w:line="216" w:before="0" w:after="0"/>
        <w:ind w:left="0" w:right="0" w:firstLine="280"/>
        <w:jc w:val="both"/>
        <w:rPr/>
      </w:pPr>
      <w:r>
        <w:rPr>
          <w:color w:val="000000"/>
          <w:spacing w:val="0"/>
          <w:w w:val="100"/>
          <w:shd w:fill="auto" w:val="clear"/>
          <w:lang w:val="en-US" w:eastAsia="en-US" w:bidi="en-US"/>
        </w:rPr>
        <w:t>Benn &amp; Peters, Social Principles and the Democratic State (London: George, Allen &amp; Unwin Ltd., 1959), p. 345.</w:t>
      </w:r>
    </w:p>
    <w:p>
      <w:pPr>
        <w:pStyle w:val="Flietext21"/>
        <w:keepNext w:val="false"/>
        <w:keepLines w:val="false"/>
        <w:widowControl w:val="false"/>
        <w:numPr>
          <w:ilvl w:val="0"/>
          <w:numId w:val="20"/>
        </w:numPr>
        <w:shd w:val="clear" w:color="auto" w:fill="auto"/>
        <w:tabs>
          <w:tab w:val="clear" w:pos="720"/>
          <w:tab w:val="left" w:pos="665" w:leader="none"/>
        </w:tabs>
        <w:bidi w:val="0"/>
        <w:spacing w:lineRule="auto" w:line="192" w:before="0" w:after="200"/>
        <w:ind w:left="0" w:right="0" w:firstLine="280"/>
        <w:jc w:val="both"/>
        <w:rPr/>
      </w:pPr>
      <w:r>
        <w:rPr>
          <w:color w:val="000000"/>
          <w:spacing w:val="0"/>
          <w:w w:val="100"/>
          <w:shd w:fill="auto" w:val="clear"/>
          <w:lang w:val="en-US" w:eastAsia="en-US" w:bidi="en-US"/>
        </w:rPr>
        <w:t>Vgl. Cranston, Essenz der Demokratie, S. 18.</w:t>
      </w:r>
    </w:p>
    <w:p>
      <w:pPr>
        <w:pStyle w:val="Flietext1"/>
        <w:keepNext w:val="false"/>
        <w:keepLines w:val="false"/>
        <w:widowControl w:val="false"/>
        <w:shd w:val="clear" w:color="auto" w:fill="auto"/>
        <w:bidi w:val="0"/>
        <w:spacing w:before="0" w:after="260"/>
        <w:ind w:left="0" w:right="0" w:firstLine="280"/>
        <w:jc w:val="both"/>
        <w:rPr/>
      </w:pPr>
      <w:r>
        <w:rPr>
          <w:color w:val="000000"/>
          <w:spacing w:val="0"/>
          <w:w w:val="100"/>
          <w:shd w:fill="auto" w:val="clear"/>
          <w:lang w:val="en-US" w:eastAsia="en-US" w:bidi="en-US"/>
        </w:rPr>
        <w:t>Zustimmung ist die Grundlage der Verpflichtung von Locke, aber das starke Gefühl der Zustimmung gilt nur für die Verfasser des ursprünglichen (hypothetischen) Vertrags und für Einwanderer der ersten Generation. Es wird für diejenigen, die Eigentum erben, erheblich verwässert, da Eigentum und Erbschaft natürliche Rechte sind, die ohne vertragliche oder konventionelle Erwägungen gültig sind. Für Nachkommen von besitzlosen Mitgliedern des ursprünglichen Vertrags (oder für besitzlose Nachkommen von vermögenden Mitgliedern des ursprünglichen Vertrags) schrumpft sogar dieses schlanke Element noch weiter; Locke kann nicht nachweisen, dass sie zugestimmt haben, sondern nur, dass sie nichts aufgeben würden, wenn sie es täten. Er „löst“ das Problem dieser Einwilligungsverwässerung durch die Fiktion der stillschweigenden Einwilligung; Durch diesen Kunstgriff konstituiert die bloße Existenz innerhalb der territorialen Grenzen einer Zivilgesellschaft die freie Übernahme einer Gehorsamspflicht. Die freie Zustimmung, die Locke so hoch schätzt, wird zu einem blassen Schatten ihres frühen Selbst; Lamprecht findet den Versuch „fast lächerlich“182 und Pitkin schimpft, dass es wenig Sinn mache, den ganzen Wirbel um freiwillige Einwilligungen zu machen, wenn am Ende sowieso alle gebunden sind.183 Wie Seliger letzten Endes betont</w:t>
      </w:r>
    </w:p>
    <w:p>
      <w:pPr>
        <w:pStyle w:val="Flietext1"/>
        <w:keepNext w:val="false"/>
        <w:keepLines w:val="false"/>
        <w:widowControl w:val="false"/>
        <w:shd w:val="clear" w:color="auto" w:fill="auto"/>
        <w:bidi w:val="0"/>
        <w:spacing w:before="0" w:after="260"/>
        <w:ind w:left="260" w:right="0" w:firstLine="360"/>
        <w:jc w:val="left"/>
        <w:rPr/>
      </w:pPr>
      <w:r>
        <w:rPr>
          <w:color w:val="000000"/>
          <w:spacing w:val="0"/>
          <w:w w:val="100"/>
          <w:shd w:fill="auto" w:val="clear"/>
          <w:vertAlign w:val="superscript"/>
          <w:lang w:val="en-US" w:eastAsia="en-US" w:bidi="en-US"/>
        </w:rPr>
        <w:t>In jedem Zusammenhang, in dem er sich auf die Zustimmung aller Mitglieder und auf den Mehrheitswillen bezieht, stellt sich heraus, dass deren Feststellbarkeit nur auf mutmaßlichen Beweisen beruht.184</w:t>
      </w:r>
    </w:p>
    <w:p>
      <w:pPr>
        <w:pStyle w:val="Flietext21"/>
        <w:keepNext w:val="false"/>
        <w:keepLines w:val="false"/>
        <w:widowControl w:val="false"/>
        <w:numPr>
          <w:ilvl w:val="0"/>
          <w:numId w:val="20"/>
        </w:numPr>
        <w:shd w:val="clear" w:color="auto" w:fill="auto"/>
        <w:tabs>
          <w:tab w:val="clear" w:pos="720"/>
          <w:tab w:val="left" w:pos="635" w:leader="none"/>
        </w:tabs>
        <w:bidi w:val="0"/>
        <w:spacing w:lineRule="auto" w:line="189" w:before="0" w:after="0"/>
        <w:ind w:left="0" w:right="0" w:firstLine="260"/>
        <w:jc w:val="left"/>
        <w:rPr/>
      </w:pPr>
      <w:r>
        <w:rPr>
          <w:color w:val="000000"/>
          <w:spacing w:val="0"/>
          <w:w w:val="100"/>
          <w:shd w:fill="auto" w:val="clear"/>
          <w:lang w:val="en-US" w:eastAsia="en-US" w:bidi="en-US"/>
        </w:rPr>
        <w:t>Louis Eisenstein, The ldeologie6 of Tazation (New York: The Ronald Press Co., 1969), p. 55.</w:t>
      </w:r>
    </w:p>
    <w:p>
      <w:pPr>
        <w:pStyle w:val="Flietext21"/>
        <w:keepNext w:val="false"/>
        <w:keepLines w:val="false"/>
        <w:widowControl w:val="false"/>
        <w:numPr>
          <w:ilvl w:val="0"/>
          <w:numId w:val="20"/>
        </w:numPr>
        <w:shd w:val="clear" w:color="auto" w:fill="auto"/>
        <w:tabs>
          <w:tab w:val="clear" w:pos="720"/>
          <w:tab w:val="left" w:pos="635" w:leader="none"/>
        </w:tabs>
        <w:bidi w:val="0"/>
        <w:spacing w:lineRule="auto" w:line="189" w:before="0" w:after="0"/>
        <w:ind w:left="0" w:right="0" w:firstLine="260"/>
        <w:jc w:val="left"/>
        <w:rPr/>
      </w:pPr>
      <w:r>
        <w:rPr>
          <w:color w:val="000000"/>
          <w:spacing w:val="0"/>
          <w:w w:val="100"/>
          <w:shd w:fill="auto" w:val="clear"/>
          <w:lang w:val="en-US" w:eastAsia="en-US" w:bidi="en-US"/>
        </w:rPr>
        <w:t>Lamprecht, Moral and Political Philosophy of John Locke, p. 151.</w:t>
      </w:r>
    </w:p>
    <w:p>
      <w:pPr>
        <w:pStyle w:val="Flietext21"/>
        <w:keepNext w:val="false"/>
        <w:keepLines w:val="false"/>
        <w:widowControl w:val="false"/>
        <w:numPr>
          <w:ilvl w:val="0"/>
          <w:numId w:val="20"/>
        </w:numPr>
        <w:shd w:val="clear" w:color="auto" w:fill="auto"/>
        <w:tabs>
          <w:tab w:val="clear" w:pos="720"/>
          <w:tab w:val="left" w:pos="620" w:leader="none"/>
        </w:tabs>
        <w:bidi w:val="0"/>
        <w:spacing w:lineRule="auto" w:line="213" w:before="0" w:after="0"/>
        <w:ind w:left="0" w:right="0" w:firstLine="280"/>
        <w:jc w:val="both"/>
        <w:rPr/>
      </w:pPr>
      <w:r>
        <w:rPr>
          <w:color w:val="000000"/>
          <w:spacing w:val="0"/>
          <w:w w:val="100"/>
          <w:shd w:fill="auto" w:val="clear"/>
          <w:lang w:val="en-US" w:eastAsia="en-US" w:bidi="en-US"/>
        </w:rPr>
        <w:t>Hanna Pitkin, „Obligation and Consent – ​​I“, in The American Political Science Review, Bd. LIX, Nr. v (Dezember 1965), p. 997.</w:t>
      </w:r>
    </w:p>
    <w:p>
      <w:pPr>
        <w:pStyle w:val="Flietext21"/>
        <w:keepNext w:val="false"/>
        <w:keepLines w:val="false"/>
        <w:widowControl w:val="false"/>
        <w:numPr>
          <w:ilvl w:val="0"/>
          <w:numId w:val="20"/>
        </w:numPr>
        <w:shd w:val="clear" w:color="auto" w:fill="auto"/>
        <w:tabs>
          <w:tab w:val="clear" w:pos="720"/>
          <w:tab w:val="left" w:pos="665" w:leader="none"/>
        </w:tabs>
        <w:bidi w:val="0"/>
        <w:spacing w:lineRule="auto" w:line="189" w:before="0" w:after="200"/>
        <w:ind w:left="0" w:right="0" w:firstLine="280"/>
        <w:jc w:val="both"/>
        <w:rPr/>
      </w:pPr>
      <w:r>
        <w:rPr>
          <w:color w:val="000000"/>
          <w:spacing w:val="0"/>
          <w:w w:val="100"/>
          <w:shd w:fill="auto" w:val="clear"/>
          <w:lang w:val="en-US" w:eastAsia="en-US" w:bidi="en-US"/>
        </w:rPr>
        <w:t>Seliger, Liberale Politik von John Locke, S. 398.</w:t>
      </w:r>
    </w:p>
    <w:p>
      <w:pPr>
        <w:pStyle w:val="Flietext1"/>
        <w:keepNext w:val="false"/>
        <w:keepLines w:val="false"/>
        <w:widowControl w:val="false"/>
        <w:shd w:val="clear" w:color="auto" w:fill="auto"/>
        <w:bidi w:val="0"/>
        <w:spacing w:before="0" w:after="240"/>
        <w:ind w:left="0" w:right="0" w:hanging="0"/>
        <w:jc w:val="both"/>
        <w:rPr/>
      </w:pPr>
      <w:r>
        <w:rPr>
          <w:color w:val="000000"/>
          <w:spacing w:val="0"/>
          <w:w w:val="100"/>
          <w:shd w:fill="auto" w:val="clear"/>
          <w:vertAlign w:val="superscript"/>
          <w:lang w:val="en-US" w:eastAsia="en-US" w:bidi="en-US"/>
        </w:rPr>
        <w:t>oder mit anderen Worten, „sich von bestimmten abweichenden Handlungen zu enthalten“.185 Zweifellos muss hier etwas gesagt werden, aber die Verwischung der Unterscheidung zwischen Duldung und Zustimmung ist genau das – ein Versäumnis, zwischen verwandt, aber verschieden zu unterscheiden Konzepte. Weiter darauf zu bestehen, dass diese Zustimmung freiwillig erteilt wird, verschärft den Irrtum lediglich. Es gibt jedoch einen Hinweis von großer Bedeutung in Seligers Beobachtung der Bedeutung mutmaßlicher Beweise. Die Transparenz der Bemühungen, die Einwilligung weiter auszudehnen, als es eigentlich möglich ist, ist schmerzlich offensichtlich; bei Locke gibt es, wie bei einigen zeitgenössischen Theorien, einen Versuch, die stillschweigende Zustimmung als vagen Füller für problematische Ecken zu verwenden, wodurch ein Konzept von signifikantem, wenn auch begrenztem Wert entwertet wird. Damit die Vertragswahl frei ist, muss es mindestens eine Alternative geben, und da die bloße Existenz innerhalb eines Landes, auch nur für eine Woche, eine Vertragsannahme darstellt, muss diese Alternative die Auswanderung sein (oder vielleicht Selbstmord, eine Option, die schien real genug, als Locke versuchte, die Sklaverei zu rechtfertigen,186 obwohl es vielleicht unfair wäre, zu viel daraus zu machen; andererseits bedient sich Weldon187 einer solchen Andeutung in einem ähnlichen Argument Mindestens riesige leere Landstriche, in die Kolonien von Andersdenkenden flüchten können – sind der Deus ex machina der Lockeschen Vertragstheorie, und in ihrem Fehlen ist Levins Erwiderung gültig, wenn auch etwas übertrieben: Die einzige wirkliche Alternative zur Akzeptanz des Gesellschaftsvertrags ist nicht geboren werden.188</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Der Rückhalt für die Zustimmung von Lockean ist das zweideutige und gedämpfte Recht auf Rebellion, das er postuliert. Selbstverständlich müssen, wenn die Grenzen des geraden und schmalen Regierungsweges zu streng sind, Vorkehrungen für die Ermahnung von abweichenden Regimen getroffen werden; der appell an den himmel ist diese versorgung, wenn die mehrheit, die den staat in naturrechtsverletzungen sieht, die revolution „versucht“. Offensichtlich musste Locke die mögliche Rechtfertigung zumindest einiger Rebellionen geltend machen, denn (ob er vor oder nach dem Ereignis schrieb) wollte er die Revolution von 1688 oder etwas sehr Ähnliches rechtfertigen. Ebenso offensichtlich wollte er jedoch keinen Freibrief für Aufstand und Anarchie erteilen. Cranston nennt ihn treffend „den konservativsten aller Revolutionäre“189, und manche190 sehen in seiner Zurückhaltung den Grund, warum er dieses wichtige Recht so vage beließ. Auch hier gibt es Meinungsverschiedenheiten darüber, was den Sturz einer Regierung rechtfertigen würde, was den Sturz einer Regierung rechtfertigen würde. Einige behaupten, dass der Vertrag für Locke „nach Belieben widerrufbar“ war,191 dass er aus einer Laune heraus gekippt werden konnte,192 dass das Volk allein willkürliche Richter darüber ist, ob der Staat seinen Teil der Abmachung einhält oder nicht.193 Eine solche Interpretation sieht das Recht auf Revolution als ein Recht an, das ziemlich häufig rechtmäßig ausgeübt werden könnte. Auf der anderen Seite, plausibler, wird der Vertrag für beide Seiten als gleichermaßen bindend angesehen – solange der Staat seinen Teil des Vertrags durch den Schutz der Naturrechte einhält, sind die Menschen verpflichtet, ihren Teil des Vertrags zu erfüllen, indem sie die Regierung schützen und ihr gehorchen. Locke behielt „die ältere Ansicht bei, dass die Gewährung der Gemeinschaft dem Volk die Macht entzieht, solange die Regierung ihren Pflichten treu bleibt. “ (Sabine)194 Lamprecht stimmt darin überein, dass eine spezifische Revolution rein „aus einer Betrachtung der rechtlichen Klauseln einer Vereinbarung zwischen einem Volk und seinen Herrschern“ gerechtfertigt ist „glaubten an die Revolution nur dort, wo es notwendig war, die elementaren Rechte des Menschen wiederzugewinnen.“196 Auch dies erinnert an Canavans Kritik197 an der Vertragstheorie als „rückwärtsgerichtet“, sie haben keinen Zweck oder Ziel, der darüber hinausgeht, ihren Ausgangspunkt, das Recht, zu schützen -tragendes Individuum. Unter Druck oder Krise fällt der Staat oder die Gesellschaft nach Locke immer wieder in eine primitive und starre Position, die der zeitlosen Naturrechte. Dieses Merkmal macht es besonders ironisch, dass Locke angesichts seiner Mobilität und Dynamik in die Tradition der liberal-kapitalistischen Apologetik gestellt werden sollte.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21"/>
        <w:keepNext w:val="false"/>
        <w:keepLines w:val="false"/>
        <w:widowControl w:val="false"/>
        <w:numPr>
          <w:ilvl w:val="0"/>
          <w:numId w:val="20"/>
        </w:numPr>
        <w:shd w:val="clear" w:color="auto" w:fill="auto"/>
        <w:tabs>
          <w:tab w:val="clear" w:pos="720"/>
          <w:tab w:val="left" w:pos="652" w:leader="none"/>
        </w:tabs>
        <w:bidi w:val="0"/>
        <w:spacing w:lineRule="auto" w:line="192" w:before="0" w:after="0"/>
        <w:ind w:left="0" w:right="0" w:firstLine="260"/>
        <w:jc w:val="left"/>
        <w:rPr/>
      </w:pPr>
      <w:r>
        <w:rPr>
          <w:color w:val="000000"/>
          <w:spacing w:val="0"/>
          <w:w w:val="100"/>
          <w:shd w:fill="auto" w:val="clear"/>
          <w:lang w:val="en-US" w:eastAsia="en-US" w:bidi="en-US"/>
        </w:rPr>
        <w:t>Ebd., p. 268.</w:t>
      </w:r>
    </w:p>
    <w:p>
      <w:pPr>
        <w:pStyle w:val="Flietext21"/>
        <w:keepNext w:val="false"/>
        <w:keepLines w:val="false"/>
        <w:widowControl w:val="false"/>
        <w:numPr>
          <w:ilvl w:val="0"/>
          <w:numId w:val="20"/>
        </w:numPr>
        <w:shd w:val="clear" w:color="auto" w:fill="auto"/>
        <w:tabs>
          <w:tab w:val="clear" w:pos="720"/>
          <w:tab w:val="left" w:pos="652" w:leader="none"/>
        </w:tabs>
        <w:bidi w:val="0"/>
        <w:spacing w:lineRule="auto" w:line="192" w:before="0" w:after="0"/>
        <w:ind w:left="0" w:right="0" w:firstLine="260"/>
        <w:jc w:val="both"/>
        <w:rPr/>
      </w:pPr>
      <w:r>
        <w:rPr>
          <w:color w:val="000000"/>
          <w:spacing w:val="0"/>
          <w:w w:val="100"/>
          <w:shd w:fill="auto" w:val="clear"/>
          <w:lang w:val="en-US" w:eastAsia="en-US" w:bidi="en-US"/>
        </w:rPr>
        <w:t>Locke, Zweite Abhandlung, Kap. IV, Abschn. 23, p. 325.</w:t>
      </w:r>
    </w:p>
    <w:p>
      <w:pPr>
        <w:pStyle w:val="Flietext21"/>
        <w:keepNext w:val="false"/>
        <w:keepLines w:val="false"/>
        <w:widowControl w:val="false"/>
        <w:numPr>
          <w:ilvl w:val="0"/>
          <w:numId w:val="20"/>
        </w:numPr>
        <w:shd w:val="clear" w:color="auto" w:fill="auto"/>
        <w:tabs>
          <w:tab w:val="clear" w:pos="720"/>
          <w:tab w:val="left" w:pos="652" w:leader="none"/>
        </w:tabs>
        <w:bidi w:val="0"/>
        <w:spacing w:lineRule="auto" w:line="192" w:before="0" w:after="0"/>
        <w:ind w:left="0" w:right="0" w:firstLine="260"/>
        <w:jc w:val="both"/>
        <w:rPr/>
      </w:pPr>
      <w:r>
        <w:rPr>
          <w:color w:val="000000"/>
          <w:spacing w:val="0"/>
          <w:w w:val="100"/>
          <w:shd w:fill="auto" w:val="clear"/>
          <w:lang w:val="en-US" w:eastAsia="en-US" w:bidi="en-US"/>
        </w:rPr>
        <w:t>Weldon, The Vocabulary of Politics, Harmondsworth, England: Penguin, 1953), p. 48.</w:t>
      </w:r>
    </w:p>
    <w:p>
      <w:pPr>
        <w:pStyle w:val="Flietext21"/>
        <w:keepNext w:val="false"/>
        <w:keepLines w:val="false"/>
        <w:widowControl w:val="false"/>
        <w:numPr>
          <w:ilvl w:val="0"/>
          <w:numId w:val="20"/>
        </w:numPr>
        <w:shd w:val="clear" w:color="auto" w:fill="auto"/>
        <w:tabs>
          <w:tab w:val="clear" w:pos="720"/>
          <w:tab w:val="left" w:pos="632" w:leader="none"/>
        </w:tabs>
        <w:bidi w:val="0"/>
        <w:spacing w:lineRule="auto" w:line="216" w:before="0" w:after="0"/>
        <w:ind w:left="0" w:right="0" w:firstLine="260"/>
        <w:jc w:val="both"/>
        <w:rPr/>
      </w:pPr>
      <w:r>
        <w:rPr>
          <w:color w:val="000000"/>
          <w:spacing w:val="0"/>
          <w:w w:val="100"/>
          <w:shd w:fill="auto" w:val="clear"/>
          <w:lang w:val="en-US" w:eastAsia="en-US" w:bidi="en-US"/>
        </w:rPr>
        <w:t>Leonard Levin, „Über den Missbrauch des zivilen Ungehorsams“, in Dissent, Bd. XVII, Nr. 6 (November-Dezember 1970), p. 587.</w:t>
      </w:r>
    </w:p>
    <w:p>
      <w:pPr>
        <w:pStyle w:val="Flietext21"/>
        <w:keepNext w:val="false"/>
        <w:keepLines w:val="false"/>
        <w:widowControl w:val="false"/>
        <w:numPr>
          <w:ilvl w:val="0"/>
          <w:numId w:val="20"/>
        </w:numPr>
        <w:shd w:val="clear" w:color="auto" w:fill="auto"/>
        <w:tabs>
          <w:tab w:val="clear" w:pos="720"/>
          <w:tab w:val="left" w:pos="652" w:leader="none"/>
        </w:tabs>
        <w:bidi w:val="0"/>
        <w:spacing w:lineRule="auto" w:line="192" w:before="0" w:after="0"/>
        <w:ind w:left="0" w:right="0" w:firstLine="260"/>
        <w:jc w:val="both"/>
        <w:rPr/>
      </w:pPr>
      <w:r>
        <w:rPr>
          <w:color w:val="000000"/>
          <w:spacing w:val="0"/>
          <w:w w:val="100"/>
          <w:shd w:fill="auto" w:val="clear"/>
          <w:lang w:val="en-US" w:eastAsia="en-US" w:bidi="en-US"/>
        </w:rPr>
        <w:t>Cranston, „John Locke und die Regierung durch Zustimmung“, S. 77.</w:t>
      </w:r>
    </w:p>
    <w:p>
      <w:pPr>
        <w:pStyle w:val="Flietext21"/>
        <w:keepNext w:val="false"/>
        <w:keepLines w:val="false"/>
        <w:widowControl w:val="false"/>
        <w:numPr>
          <w:ilvl w:val="0"/>
          <w:numId w:val="20"/>
        </w:numPr>
        <w:shd w:val="clear" w:color="auto" w:fill="auto"/>
        <w:tabs>
          <w:tab w:val="clear" w:pos="720"/>
          <w:tab w:val="left" w:pos="652" w:leader="none"/>
        </w:tabs>
        <w:bidi w:val="0"/>
        <w:spacing w:lineRule="auto" w:line="192" w:before="0" w:after="0"/>
        <w:ind w:left="0" w:right="0" w:firstLine="260"/>
        <w:jc w:val="both"/>
        <w:rPr/>
      </w:pPr>
      <w:r>
        <w:rPr>
          <w:color w:val="000000"/>
          <w:spacing w:val="0"/>
          <w:w w:val="100"/>
          <w:shd w:fill="auto" w:val="clear"/>
          <w:lang w:val="en-US" w:eastAsia="en-US" w:bidi="en-US"/>
        </w:rPr>
        <w:t>Z.B. Benn und Peters, op. cit., p. 122; Lamprecht, op. cit., p. 150.</w:t>
      </w:r>
    </w:p>
    <w:p>
      <w:pPr>
        <w:pStyle w:val="Flietext21"/>
        <w:keepNext w:val="false"/>
        <w:keepLines w:val="false"/>
        <w:widowControl w:val="false"/>
        <w:numPr>
          <w:ilvl w:val="0"/>
          <w:numId w:val="20"/>
        </w:numPr>
        <w:shd w:val="clear" w:color="auto" w:fill="auto"/>
        <w:tabs>
          <w:tab w:val="clear" w:pos="720"/>
          <w:tab w:val="left" w:pos="652" w:leader="none"/>
        </w:tabs>
        <w:bidi w:val="0"/>
        <w:spacing w:lineRule="auto" w:line="192" w:before="0" w:after="0"/>
        <w:ind w:left="0" w:right="0" w:firstLine="260"/>
        <w:jc w:val="left"/>
        <w:rPr/>
      </w:pPr>
      <w:r>
        <w:rPr>
          <w:color w:val="000000"/>
          <w:spacing w:val="0"/>
          <w:w w:val="100"/>
          <w:shd w:fill="auto" w:val="clear"/>
          <w:lang w:val="en-US" w:eastAsia="en-US" w:bidi="en-US"/>
        </w:rPr>
        <w:t>Stanlis, Edmund Burke und das Naturgesetz, S. 23. 192</w:t>
      </w:r>
    </w:p>
    <w:p>
      <w:pPr>
        <w:pStyle w:val="Flietext21"/>
        <w:keepNext w:val="false"/>
        <w:keepLines w:val="false"/>
        <w:widowControl w:val="false"/>
        <w:numPr>
          <w:ilvl w:val="0"/>
          <w:numId w:val="20"/>
        </w:numPr>
        <w:shd w:val="clear" w:color="auto" w:fill="auto"/>
        <w:tabs>
          <w:tab w:val="clear" w:pos="720"/>
          <w:tab w:val="left" w:pos="652" w:leader="none"/>
        </w:tabs>
        <w:bidi w:val="0"/>
        <w:spacing w:lineRule="auto" w:line="192" w:before="0" w:after="0"/>
        <w:ind w:left="0" w:right="0" w:firstLine="260"/>
        <w:jc w:val="left"/>
        <w:rPr/>
      </w:pPr>
      <w:r>
        <w:rPr>
          <w:color w:val="000000"/>
          <w:spacing w:val="0"/>
          <w:w w:val="100"/>
          <w:shd w:fill="auto" w:val="clear"/>
          <w:lang w:val="en-US" w:eastAsia="en-US" w:bidi="en-US"/>
        </w:rPr>
        <w:t>Kendall, John Locke und die Mehrheitsregel, S. 96.</w:t>
      </w:r>
    </w:p>
    <w:p>
      <w:pPr>
        <w:pStyle w:val="Flietext21"/>
        <w:keepNext w:val="false"/>
        <w:keepLines w:val="false"/>
        <w:widowControl w:val="false"/>
        <w:numPr>
          <w:ilvl w:val="0"/>
          <w:numId w:val="20"/>
        </w:numPr>
        <w:shd w:val="clear" w:color="auto" w:fill="auto"/>
        <w:tabs>
          <w:tab w:val="clear" w:pos="720"/>
          <w:tab w:val="left" w:pos="652" w:leader="none"/>
        </w:tabs>
        <w:bidi w:val="0"/>
        <w:spacing w:lineRule="auto" w:line="192" w:before="0" w:after="0"/>
        <w:ind w:left="0" w:right="0" w:firstLine="260"/>
        <w:jc w:val="both"/>
        <w:rPr/>
      </w:pPr>
      <w:r>
        <w:rPr>
          <w:color w:val="000000"/>
          <w:spacing w:val="0"/>
          <w:w w:val="100"/>
          <w:shd w:fill="auto" w:val="clear"/>
          <w:lang w:val="en-US" w:eastAsia="en-US" w:bidi="en-US"/>
        </w:rPr>
        <w:t>Laslett, op. cit., p. 122, cf. Seliger, Liberal Politics, p. 295.</w:t>
      </w:r>
    </w:p>
    <w:p>
      <w:pPr>
        <w:pStyle w:val="Flietext21"/>
        <w:keepNext w:val="false"/>
        <w:keepLines w:val="false"/>
        <w:widowControl w:val="false"/>
        <w:numPr>
          <w:ilvl w:val="0"/>
          <w:numId w:val="20"/>
        </w:numPr>
        <w:shd w:val="clear" w:color="auto" w:fill="auto"/>
        <w:tabs>
          <w:tab w:val="clear" w:pos="720"/>
          <w:tab w:val="left" w:pos="652" w:leader="none"/>
        </w:tabs>
        <w:bidi w:val="0"/>
        <w:spacing w:lineRule="auto" w:line="192" w:before="0" w:after="200"/>
        <w:ind w:left="0" w:right="0" w:firstLine="260"/>
        <w:jc w:val="both"/>
        <w:rPr/>
      </w:pPr>
      <w:r>
        <w:rPr>
          <w:color w:val="000000"/>
          <w:spacing w:val="0"/>
          <w:w w:val="100"/>
          <w:shd w:fill="auto" w:val="clear"/>
          <w:lang w:val="en-US" w:eastAsia="en-US" w:bidi="en-US"/>
        </w:rPr>
        <w:t>Sabine, Geschichte der politischen Theorie, S. 534.</w:t>
      </w:r>
    </w:p>
    <w:p>
      <w:pPr>
        <w:pStyle w:val="Flietext1"/>
        <w:keepNext w:val="false"/>
        <w:keepLines w:val="false"/>
        <w:widowControl w:val="false"/>
        <w:shd w:val="clear" w:color="auto" w:fill="auto"/>
        <w:bidi w:val="0"/>
        <w:spacing w:before="0" w:after="0"/>
        <w:ind w:left="0" w:right="0" w:firstLine="260"/>
        <w:jc w:val="both"/>
        <w:rPr/>
      </w:pPr>
      <w:r>
        <w:rPr>
          <w:color w:val="000000"/>
          <w:spacing w:val="0"/>
          <w:w w:val="100"/>
          <w:shd w:fill="auto" w:val="clear"/>
          <w:lang w:val="en-US" w:eastAsia="en-US" w:bidi="en-US"/>
        </w:rPr>
        <w:t>Lockes Mangel an Enthusiasmus in der Mehrheit für Wahlzwecke überträgt sich auf seine Haltung gegenüber dem Recht auf Rebellion; seine Hinweise auf ein solches Recht bleiben weit hinter Populismus zurück. Die Massen sind im Allgemeinen apathisch und passiv und werden sich daher kaum regen, es sei denn, die Provokation ist ernsthaft und langwierig; dies entspricht auf praktischer Ebene der normativen Forderung, dass der Kriegszustand (der allein eine Rebellion rechtfertigt) zwischen Herrscher und Volk streng als „behäbiges Siedlungsdesign“ definiert wird und daher Einzelfälle keine ausreichende Rechtfertigung darstellen. Genau genommen ist das nebensächlich; die Frage ist, wie oft Menschen vom Recht auf Revolution Gebrauch machen sollten und wie oft sie tatsächlich von einer solchen Option Gebrauch machen – ob mehr oder weniger oft als gerechtfertigt –, ist logisch irrelevant. Doch offensichtlich sind die beiden Überlegungen nicht völlig unabhängig voneinander; Locke konnte von einem Recht auf Rebellion sprechen (wenn auch etwas nervös und vage), weil er sicher war, dass das Recht nicht überstrapaziert werden würde. Gerade weil Locke in eine politische Debatte verwickelt ist, kann er praktische Konsequenzen nicht im Namen philosophischer Strenge und Sauberkeit außer Acht lassen, sondern den offensichtlichen Gegenerwiderungen am ehesten zuvorkommen.</w:t>
      </w:r>
    </w:p>
    <w:p>
      <w:pPr>
        <w:pStyle w:val="Flietext1"/>
        <w:keepNext w:val="false"/>
        <w:keepLines w:val="false"/>
        <w:widowControl w:val="false"/>
        <w:shd w:val="clear" w:color="auto" w:fill="auto"/>
        <w:bidi w:val="0"/>
        <w:spacing w:before="0" w:after="240"/>
        <w:ind w:left="0" w:right="0" w:firstLine="260"/>
        <w:jc w:val="both"/>
        <w:rPr/>
      </w:pPr>
      <w:r>
        <w:rPr>
          <w:color w:val="000000"/>
          <w:spacing w:val="0"/>
          <w:w w:val="100"/>
          <w:shd w:fill="auto" w:val="clear"/>
          <w:lang w:val="en-US" w:eastAsia="en-US" w:bidi="en-US"/>
        </w:rPr>
        <w:t>Locke war der Meinung, dass das Recht auf Revolution weder oft noch ausgeübt werden sollte. Revolution ist ein marginales Recht, das nur in extremen Fällen eingesetzt werden darf, eine staubige Keule, um staatliches Fehlverhalten zu verhindern. Seliger fasst es treffend als „nichtdemokratisches Wahlrecht“ zusammen.198 In Übereinstimmung mit seiner Behauptung, dass Locke kein Mittel sah, Zustimmung auszudrücken, außer darin, sich des Widerspruchs zu enthalten, besteht er darauf, dass das Recht auf Revolution entscheidend und das einzige wirklich demokratische Merkmal von Locke ist ganzes Argument.199 Dennoch bleibt es ein marginales Recht; Im Gegensatz zu Jeffersons „Recht auf Rebellion“, das etwa alle zwanzig Jahre ausgeübt werden sollte,200 ist Lockes ein Abschreckungsmittel, das tatsächlich nur ausgeübt wird, wenn es bereits gescheitert ist. Daher sein Kommentar, dass ein solches Recht, weit davon entfernt, häufige Rebellion zu fördern, als „der beste Zaun gegen Rebellion“ dienen würde201; der Vorschlag ist aufschlussreich hinsichtlich Lockes Stimmung und Absichten, dieses Recht zu postulieren.</w:t>
      </w:r>
    </w:p>
    <w:p>
      <w:pPr>
        <w:pStyle w:val="Flietext21"/>
        <w:keepNext w:val="false"/>
        <w:keepLines w:val="false"/>
        <w:widowControl w:val="false"/>
        <w:numPr>
          <w:ilvl w:val="0"/>
          <w:numId w:val="20"/>
        </w:numPr>
        <w:shd w:val="clear" w:color="auto" w:fill="auto"/>
        <w:tabs>
          <w:tab w:val="clear" w:pos="720"/>
          <w:tab w:val="left" w:pos="645" w:leader="none"/>
        </w:tabs>
        <w:bidi w:val="0"/>
        <w:spacing w:lineRule="auto" w:line="240" w:before="0" w:after="0"/>
        <w:ind w:left="0" w:right="0" w:firstLine="260"/>
        <w:jc w:val="both"/>
        <w:rPr/>
      </w:pPr>
      <w:r>
        <w:rPr>
          <w:color w:val="000000"/>
          <w:spacing w:val="0"/>
          <w:w w:val="100"/>
          <w:shd w:fill="auto" w:val="clear"/>
          <w:lang w:val="en-US" w:eastAsia="en-US" w:bidi="en-US"/>
        </w:rPr>
        <w:t>Lamprecht, Moral and Political Philosophy of John Locke, p. 146.</w:t>
      </w:r>
    </w:p>
    <w:p>
      <w:pPr>
        <w:pStyle w:val="Flietext21"/>
        <w:keepNext w:val="false"/>
        <w:keepLines w:val="false"/>
        <w:widowControl w:val="false"/>
        <w:numPr>
          <w:ilvl w:val="0"/>
          <w:numId w:val="20"/>
        </w:numPr>
        <w:shd w:val="clear" w:color="auto" w:fill="auto"/>
        <w:tabs>
          <w:tab w:val="clear" w:pos="720"/>
          <w:tab w:val="left" w:pos="645" w:leader="none"/>
        </w:tabs>
        <w:bidi w:val="0"/>
        <w:spacing w:before="0" w:after="0"/>
        <w:ind w:left="0" w:right="0" w:firstLine="260"/>
        <w:jc w:val="both"/>
        <w:rPr/>
      </w:pPr>
      <w:r>
        <w:rPr>
          <w:color w:val="000000"/>
          <w:spacing w:val="0"/>
          <w:w w:val="100"/>
          <w:shd w:fill="auto" w:val="clear"/>
          <w:lang w:val="en-US" w:eastAsia="en-US" w:bidi="en-US"/>
        </w:rPr>
        <w:t>Cranston, „John Locke und die Regierung durch Zustimmung“, S. 77.</w:t>
      </w:r>
    </w:p>
    <w:p>
      <w:pPr>
        <w:pStyle w:val="Flietext21"/>
        <w:keepNext w:val="false"/>
        <w:keepLines w:val="false"/>
        <w:widowControl w:val="false"/>
        <w:numPr>
          <w:ilvl w:val="0"/>
          <w:numId w:val="20"/>
        </w:numPr>
        <w:shd w:val="clear" w:color="auto" w:fill="auto"/>
        <w:tabs>
          <w:tab w:val="clear" w:pos="720"/>
          <w:tab w:val="left" w:pos="645" w:leader="none"/>
        </w:tabs>
        <w:bidi w:val="0"/>
        <w:spacing w:lineRule="auto" w:line="208" w:before="0" w:after="200"/>
        <w:ind w:left="0" w:right="0" w:firstLine="260"/>
        <w:jc w:val="left"/>
        <w:rPr/>
      </w:pPr>
      <w:r>
        <w:rPr>
          <w:i/>
          <w:iCs/>
          <w:color w:val="000000"/>
          <w:spacing w:val="0"/>
          <w:w w:val="100"/>
          <w:shd w:fill="auto" w:val="clear"/>
          <w:lang w:val="en-US" w:eastAsia="en-US" w:bidi="en-US"/>
        </w:rPr>
        <w:t>Canavan, op. zit.</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Doch in gewissem Sinne hat sich selbst Seliger an dieser Stelle auf den falschen Ast der Rechtfertigungs-/Wahrscheinlichkeitsgabelung (d. h. Naturrechte/Mehrheitsregel) führen lassen. Es ist wichtig, sich niemals von Lockes Schnörkeln täuschen zu lassen; er war kein populistischer Demokrat, kein Majorist. Was die Revolution letztlich rechtfertigt (im Gegensatz zu ihrer Wahrscheinlichkeit, sie zu provozieren), ist nicht die Zurschaustellung des Mehrheitswillens, die ihm nie wichtig ist, sondern die Verletzung der Naturrechte durch die Regierung. Es besteht keine Notwendigkeit für laufende Volksabstimmungen, um die tägliche Legitimität der Regierung festzustellen; so etwas ist irrelevant. Vielmehr betrachtet man a) die bloße Existenz einer Regierung und b) ihre Nichtverletzung von Naturrechten. Bejahende Antworten auf diesen Zwillingstest begründen eine automatische Vermutung der Legitimität und damit der hypothetischen Mehrheitszustimmung, sodass eine Revolution ausgeschlossen ist.</w:t>
      </w:r>
    </w:p>
    <w:p>
      <w:pPr>
        <w:pStyle w:val="Flietext1"/>
        <w:keepNext w:val="false"/>
        <w:keepLines w:val="false"/>
        <w:widowControl w:val="false"/>
        <w:shd w:val="clear" w:color="auto" w:fill="auto"/>
        <w:bidi w:val="0"/>
        <w:spacing w:before="0" w:after="300"/>
        <w:ind w:left="0" w:right="0" w:firstLine="280"/>
        <w:jc w:val="both"/>
        <w:rPr/>
      </w:pPr>
      <w:r>
        <w:rPr>
          <w:color w:val="000000"/>
          <w:spacing w:val="0"/>
          <w:w w:val="100"/>
          <w:shd w:fill="auto" w:val="clear"/>
          <w:lang w:val="en-US" w:eastAsia="en-US" w:bidi="en-US"/>
        </w:rPr>
        <w:t>Dies bringt die Diskussion zurück zum Problem der Zustimmung bei Locke; Indem man seine eigene quasi-historische Behandlung verwirft und stattdessen die Logik seines Rechts auf Revolution untersucht, kann man ein plausibles und kohärentes Argument ableiten, das die Verpflichtung auf Zustimmung stützt, wenn auch eines, das sich ziemlich von dem unterscheidet, das üblicherweise Zustimmungstheoretikern zugeschrieben wird. So wie Hobbes nicht vom Souverän spricht (wie er denkt), sondern nur von erzwungenem Recht, wobei die Existenz und Äußerung dieses Souveräns als eine manchmal nicht nachweisbare frühere Tatsache angenommen wird, so spricht Locke nicht von Mehrheitszustimmung (wie es scheint), sondern von Nichtverletzung durch die Regierung der Naturrechte, wobei das Vorliegen einer vorherigen Mehrheitszustimmung als stets unbeweisbare Vortat vermutet wird. In beiden Fällen ist das, was abgeleitet zu sein scheint, in Wirklichkeit primär. Mit anderen Worten, Locke tut (implizit in seiner Behandlung des Rechts auf Rebellion) genau das, was Hanna Pitkin202 so wütend auf ihn macht, weil er es nicht tut203 – er definiert Verpflichtung in Form von Zustimmung, aber diese Zustimmung wird nicht durch das bestimmt, was die Mehrheit tut wollen, sondern eher in Bezug auf das, was sie wollen sollten; und was sie wollen sollten und nicht ignorieren, ablehnen oder zurückweisen können, ist der Schutz der natürlichen Rechte. Verpflichtung wird nicht dadurch bestimmt, dass man in sich hineinschaut und versucht, sich daran zu erinnern, ob man etwas versprochen hat; es wird auch nicht bestimmt, indem man die Mehrheit der Nachbarn untersucht, um zu sehen, ob sie versprochen haben. Vielmehr ist es eine Frage des Handelns der Regierung; verhält sich der Staat so, dass er die Bedingungen der Zustimmung erfüllt, also die Naturrechte schützt, dann wird dem Einzelnen aus dieser Tatsache die Zustimmung unterstellt, und er hat nicht die Möglichkeit, die Zustimmung zu verweigern. Erfüllt der Staat diese Bedingungen nicht, so kann er nicht durch Zustimmung im eigentlichen Sinne legitimiert werden, und die Zustimmung auch einer ungewöhnlichen Mehrheit ist einfach nebensächlich und verwickelt sie in sein Verbrechen. Eine solche Zustimmung kann die Wahrscheinlichkeit einer Rebellion beeinträchtigen, aber ihre Unrechtmäßigkeit wird durch die Verletzung natürlicher Rechte festgestellt. Nicht nur der Lockesche Naturzustand ist hypothetisch, sondern auch der Vertrag.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21"/>
        <w:keepNext w:val="false"/>
        <w:keepLines w:val="false"/>
        <w:widowControl w:val="false"/>
        <w:numPr>
          <w:ilvl w:val="0"/>
          <w:numId w:val="20"/>
        </w:numPr>
        <w:shd w:val="clear" w:color="auto" w:fill="auto"/>
        <w:tabs>
          <w:tab w:val="clear" w:pos="720"/>
          <w:tab w:val="left" w:pos="625" w:leader="none"/>
        </w:tabs>
        <w:bidi w:val="0"/>
        <w:spacing w:lineRule="auto" w:line="189" w:before="0" w:after="0"/>
        <w:ind w:left="0" w:right="0" w:firstLine="240"/>
        <w:jc w:val="both"/>
        <w:rPr/>
      </w:pPr>
      <w:r>
        <w:rPr>
          <w:color w:val="000000"/>
          <w:spacing w:val="0"/>
          <w:w w:val="100"/>
          <w:shd w:fill="auto" w:val="clear"/>
          <w:lang w:val="en-US" w:eastAsia="en-US" w:bidi="en-US"/>
        </w:rPr>
        <w:t>Seliger, Die liberale Politik von John Locke, S. Sol.</w:t>
      </w:r>
    </w:p>
    <w:p>
      <w:pPr>
        <w:pStyle w:val="Flietext1"/>
        <w:keepNext w:val="false"/>
        <w:keepLines w:val="false"/>
        <w:widowControl w:val="false"/>
        <w:numPr>
          <w:ilvl w:val="0"/>
          <w:numId w:val="20"/>
        </w:numPr>
        <w:shd w:val="clear" w:color="auto" w:fill="auto"/>
        <w:tabs>
          <w:tab w:val="clear" w:pos="720"/>
          <w:tab w:val="left" w:pos="625" w:leader="none"/>
        </w:tabs>
        <w:bidi w:val="0"/>
        <w:spacing w:lineRule="auto" w:line="189" w:before="0" w:after="0"/>
        <w:ind w:left="0" w:right="0" w:firstLine="240"/>
        <w:jc w:val="both"/>
        <w:rPr>
          <w:sz w:val="22"/>
          <w:szCs w:val="22"/>
        </w:rPr>
      </w:pPr>
      <w:r>
        <w:rPr>
          <w:color w:val="000000"/>
          <w:spacing w:val="0"/>
          <w:w w:val="100"/>
          <w:sz w:val="22"/>
          <w:szCs w:val="22"/>
          <w:shd w:fill="auto" w:val="clear"/>
          <w:lang w:val="en-US" w:eastAsia="en-US" w:bidi="en-US"/>
        </w:rPr>
        <w:t>Ebenda.</w:t>
      </w:r>
    </w:p>
    <w:p>
      <w:pPr>
        <w:pStyle w:val="Flietext21"/>
        <w:keepNext w:val="false"/>
        <w:keepLines w:val="false"/>
        <w:widowControl w:val="false"/>
        <w:numPr>
          <w:ilvl w:val="0"/>
          <w:numId w:val="20"/>
        </w:numPr>
        <w:shd w:val="clear" w:color="auto" w:fill="auto"/>
        <w:tabs>
          <w:tab w:val="clear" w:pos="720"/>
          <w:tab w:val="left" w:pos="639" w:leader="none"/>
        </w:tabs>
        <w:bidi w:val="0"/>
        <w:spacing w:lineRule="auto" w:line="189" w:before="0" w:after="0"/>
        <w:ind w:left="0" w:right="0" w:firstLine="240"/>
        <w:jc w:val="left"/>
        <w:rPr/>
      </w:pPr>
      <w:r>
        <w:rPr>
          <w:color w:val="000000"/>
          <w:spacing w:val="0"/>
          <w:w w:val="100"/>
          <w:shd w:fill="auto" w:val="clear"/>
          <w:lang w:val="en-US" w:eastAsia="en-US" w:bidi="en-US"/>
        </w:rPr>
        <w:t>Zitiert in Hannah Arendt, On Revolution (London: Faber &amp; Faber, 1963), p. 236.</w:t>
      </w:r>
    </w:p>
    <w:p>
      <w:pPr>
        <w:pStyle w:val="Flietext21"/>
        <w:keepNext w:val="false"/>
        <w:keepLines w:val="false"/>
        <w:widowControl w:val="false"/>
        <w:numPr>
          <w:ilvl w:val="0"/>
          <w:numId w:val="20"/>
        </w:numPr>
        <w:shd w:val="clear" w:color="auto" w:fill="auto"/>
        <w:tabs>
          <w:tab w:val="clear" w:pos="720"/>
          <w:tab w:val="left" w:pos="639" w:leader="none"/>
        </w:tabs>
        <w:bidi w:val="0"/>
        <w:spacing w:lineRule="auto" w:line="189" w:before="0" w:after="0"/>
        <w:ind w:left="0" w:right="0" w:firstLine="240"/>
        <w:jc w:val="left"/>
        <w:rPr/>
      </w:pPr>
      <w:r>
        <w:rPr>
          <w:color w:val="000000"/>
          <w:spacing w:val="0"/>
          <w:w w:val="100"/>
          <w:shd w:fill="auto" w:val="clear"/>
          <w:lang w:val="en-US" w:eastAsia="en-US" w:bidi="en-US"/>
        </w:rPr>
        <w:t>Locke, Zweite Abhandlung, Kap. XIX, Abschn. 226, Zeilen 4-5, p. 464.</w:t>
      </w:r>
    </w:p>
    <w:p>
      <w:pPr>
        <w:pStyle w:val="Flietext21"/>
        <w:keepNext w:val="false"/>
        <w:keepLines w:val="false"/>
        <w:widowControl w:val="false"/>
        <w:numPr>
          <w:ilvl w:val="0"/>
          <w:numId w:val="20"/>
        </w:numPr>
        <w:shd w:val="clear" w:color="auto" w:fill="auto"/>
        <w:tabs>
          <w:tab w:val="clear" w:pos="720"/>
          <w:tab w:val="left" w:pos="659" w:leader="none"/>
        </w:tabs>
        <w:bidi w:val="0"/>
        <w:spacing w:lineRule="auto" w:line="189" w:before="0" w:after="0"/>
        <w:ind w:left="0" w:right="0" w:firstLine="260"/>
        <w:jc w:val="both"/>
        <w:rPr/>
      </w:pPr>
      <w:r>
        <w:rPr>
          <w:color w:val="000000"/>
          <w:spacing w:val="0"/>
          <w:w w:val="100"/>
          <w:shd w:fill="auto" w:val="clear"/>
          <w:lang w:val="en-US" w:eastAsia="en-US" w:bidi="en-US"/>
        </w:rPr>
        <w:t>Lang, op. zit., passim.</w:t>
      </w:r>
    </w:p>
    <w:p>
      <w:pPr>
        <w:pStyle w:val="Flietext21"/>
        <w:keepNext w:val="false"/>
        <w:keepLines w:val="false"/>
        <w:widowControl w:val="false"/>
        <w:numPr>
          <w:ilvl w:val="0"/>
          <w:numId w:val="20"/>
        </w:numPr>
        <w:shd w:val="clear" w:color="auto" w:fill="auto"/>
        <w:tabs>
          <w:tab w:val="clear" w:pos="720"/>
          <w:tab w:val="left" w:pos="625" w:leader="none"/>
        </w:tabs>
        <w:bidi w:val="0"/>
        <w:spacing w:lineRule="auto" w:line="240" w:before="0" w:after="200"/>
        <w:ind w:left="0" w:right="0" w:firstLine="260"/>
        <w:jc w:val="both"/>
        <w:rPr/>
      </w:pPr>
      <w:r>
        <w:rPr>
          <w:color w:val="000000"/>
          <w:spacing w:val="0"/>
          <w:w w:val="100"/>
          <w:shd w:fill="auto" w:val="clear"/>
          <w:lang w:val="en-US" w:eastAsia="en-US" w:bidi="en-US"/>
        </w:rPr>
        <w:t>oder dafür, dass er es gegen seinen Willen tut. Andererseits tut er, was Pitkin nie tut, obwohl sie immer wieder sagt, dass wir es tun müssen – er gibt dieser Regierung einen Inhalt, dem wir zustimmen sollten, anstatt nur immer wieder zu sagen, dass die Zustimmung in Bezug auf den Charakter von diskutiert werden sollte die Regierung. Locke gibt damit einen Grund dafür, Dinge in Bezug auf die Zustimmung zu diskutieren, während Pitkins „hypothetischer“ Zustimmungsansatz die Zustimmung als unnötigen Mittelschritt einfach vollständig auslöscht. Der Gegensatz zwischen „hypothetischer“ Einwilligung und „unterstellter“ Einwilligung wird an späterer Stelle ausführlicher herausgearbeitet; Wichtig ist vorerst, dass der Vertrag bei letzterem nur eine untergeordnete Rolle spielt.</w:t>
      </w:r>
    </w:p>
    <w:p>
      <w:pPr>
        <w:pStyle w:val="Flietext1"/>
        <w:keepNext w:val="false"/>
        <w:keepLines w:val="false"/>
        <w:widowControl w:val="false"/>
        <w:shd w:val="clear" w:color="auto" w:fill="auto"/>
        <w:bidi w:val="0"/>
        <w:spacing w:before="0" w:after="260"/>
        <w:ind w:left="0" w:right="0" w:firstLine="260"/>
        <w:jc w:val="both"/>
        <w:rPr/>
      </w:pPr>
      <w:r>
        <w:rPr>
          <w:color w:val="000000"/>
          <w:spacing w:val="0"/>
          <w:w w:val="100"/>
          <w:shd w:fill="auto" w:val="clear"/>
          <w:lang w:val="en-US" w:eastAsia="en-US" w:bidi="en-US"/>
        </w:rPr>
        <w:t>Aber es gibt noch weitere seltsame Untertöne in der Position von Locke zur Verpflichtung, der Regierung zu gehorchen, und diese kommen in seiner Behandlung der Frage der Bestrafung zum Vorschein. Locke räumt diesen standardmäßigen christlichen Angriff auf den Kontraktualismus ein, dass, da kein Mensch das Recht auf sein eigenes Leben hat, er dem Staat nicht per Vertrag eine Macht aufgeben kann, die er selbst nicht hat, und daher die Todesstrafe illegitim ist, es sei denn, Gott selbst bestimmt die Regierung, die zum göttlichen Recht führt.204 Für Locke ist dieser rutschige Abhang jedoch immer noch überquerbar. Er räumt ein, dass niemand das Recht hat, sich selbst oder einem anderen das Leben zu nehmen, besteht dann aber darauf, dass der Mann, der meine natürlichen Rechte verletzt – das heißt, mein Leben oder Eigentum angreift – kein Mensch mehr ist, sondern ein wildes Tier , und muss daher nicht wie ein Mensch behandelt werden (d. h. „Du sollst nicht morden“), sondern wie „Ungeziefer“. Männer, zumindest in einem höchst bedeutsamen Sinne, ist dies nebensächlich. Einen Menschen zu versklaven ist ungerechtfertigt, aber eines dieser wilden Tiere zu besitzen, das sein Leben bereits verwirkt hat, ist eine ganz andere Frage.206 Das Recht auf Strafe ist ein vollwertiges Naturrecht, das im Naturzustand und ohne Konvention existiert oder vertragliche Aspekte; tatsächlich ist das einzige Recht, das durch den Vertrag von Lockean übertragen wird, das Recht, Verletzungen der natürlichen Rechte zu bestrafen207 (ein Recht, das nicht nur dem geschädigten Individuum, sondern allen zusteht208 – ein weiterer Wechsel von Hobbes), und sollte dieses Recht systematisch missbraucht werden, fällt es immer wieder zurück in die Hände der Individuen.</w:t>
      </w:r>
    </w:p>
    <w:p>
      <w:pPr>
        <w:pStyle w:val="Flietext21"/>
        <w:keepNext w:val="false"/>
        <w:keepLines w:val="false"/>
        <w:widowControl w:val="false"/>
        <w:numPr>
          <w:ilvl w:val="0"/>
          <w:numId w:val="20"/>
        </w:numPr>
        <w:shd w:val="clear" w:color="auto" w:fill="auto"/>
        <w:tabs>
          <w:tab w:val="clear" w:pos="720"/>
          <w:tab w:val="left" w:pos="639" w:leader="none"/>
        </w:tabs>
        <w:bidi w:val="0"/>
        <w:spacing w:lineRule="auto" w:line="240" w:before="0" w:after="0"/>
        <w:ind w:left="0" w:right="0" w:firstLine="240"/>
        <w:jc w:val="left"/>
        <w:rPr/>
      </w:pPr>
      <w:r>
        <w:rPr>
          <w:color w:val="000000"/>
          <w:spacing w:val="0"/>
          <w:w w:val="100"/>
          <w:shd w:fill="auto" w:val="clear"/>
          <w:lang w:val="en-US" w:eastAsia="en-US" w:bidi="en-US"/>
        </w:rPr>
        <w:t>Locke, Zweite Abhandlung, Kap. 1 Sek. 6, Zeilen 1-6, p. 311 und Kap. IV, Abschn. 23, p. 325.</w:t>
      </w:r>
    </w:p>
    <w:p>
      <w:pPr>
        <w:pStyle w:val="Flietext21"/>
        <w:keepNext w:val="false"/>
        <w:keepLines w:val="false"/>
        <w:widowControl w:val="false"/>
        <w:numPr>
          <w:ilvl w:val="0"/>
          <w:numId w:val="20"/>
        </w:numPr>
        <w:shd w:val="clear" w:color="auto" w:fill="auto"/>
        <w:tabs>
          <w:tab w:val="clear" w:pos="720"/>
          <w:tab w:val="left" w:pos="639" w:leader="none"/>
        </w:tabs>
        <w:bidi w:val="0"/>
        <w:spacing w:before="0" w:after="0"/>
        <w:ind w:left="0" w:right="0" w:firstLine="240"/>
        <w:jc w:val="left"/>
        <w:rPr/>
      </w:pPr>
      <w:r>
        <w:rPr>
          <w:color w:val="000000"/>
          <w:spacing w:val="0"/>
          <w:w w:val="100"/>
          <w:shd w:fill="auto" w:val="clear"/>
          <w:lang w:val="en-US" w:eastAsia="en-US" w:bidi="en-US"/>
        </w:rPr>
        <w:t>Locke, Zweite Abhandlung, Kap. II, Abschn. 16, p. 319.</w:t>
      </w:r>
    </w:p>
    <w:p>
      <w:pPr>
        <w:pStyle w:val="Flietext21"/>
        <w:keepNext w:val="false"/>
        <w:keepLines w:val="false"/>
        <w:widowControl w:val="false"/>
        <w:numPr>
          <w:ilvl w:val="0"/>
          <w:numId w:val="20"/>
        </w:numPr>
        <w:shd w:val="clear" w:color="auto" w:fill="auto"/>
        <w:tabs>
          <w:tab w:val="clear" w:pos="720"/>
          <w:tab w:val="left" w:pos="639" w:leader="none"/>
        </w:tabs>
        <w:bidi w:val="0"/>
        <w:spacing w:lineRule="auto" w:line="220" w:before="0" w:after="0"/>
        <w:ind w:left="0" w:right="0" w:firstLine="240"/>
        <w:jc w:val="left"/>
        <w:rPr/>
      </w:pPr>
      <w:r>
        <w:rPr>
          <w:color w:val="000000"/>
          <w:spacing w:val="0"/>
          <w:w w:val="100"/>
          <w:shd w:fill="auto" w:val="clear"/>
          <w:lang w:val="en-US" w:eastAsia="en-US" w:bidi="en-US"/>
        </w:rPr>
        <w:t>Locke, Zweite Abhandlung, Kap. IV, Abschn. 23, p. 325.</w:t>
      </w:r>
    </w:p>
    <w:p>
      <w:pPr>
        <w:pStyle w:val="Flietext21"/>
        <w:keepNext w:val="false"/>
        <w:keepLines w:val="false"/>
        <w:widowControl w:val="false"/>
        <w:numPr>
          <w:ilvl w:val="0"/>
          <w:numId w:val="20"/>
        </w:numPr>
        <w:shd w:val="clear" w:color="auto" w:fill="auto"/>
        <w:tabs>
          <w:tab w:val="clear" w:pos="720"/>
          <w:tab w:val="left" w:pos="639" w:leader="none"/>
        </w:tabs>
        <w:bidi w:val="0"/>
        <w:spacing w:before="0" w:after="0"/>
        <w:ind w:left="0" w:right="0" w:firstLine="240"/>
        <w:jc w:val="left"/>
        <w:rPr/>
      </w:pPr>
      <w:r>
        <w:rPr>
          <w:color w:val="000000"/>
          <w:spacing w:val="0"/>
          <w:w w:val="100"/>
          <w:shd w:fill="auto" w:val="clear"/>
          <w:lang w:val="en-US" w:eastAsia="en-US" w:bidi="en-US"/>
        </w:rPr>
        <w:t>Locke, Zweite Abhandlung, Kap. VII, Sek. 87, Zeilen 14-18, p. 367.</w:t>
      </w:r>
    </w:p>
    <w:p>
      <w:pPr>
        <w:pStyle w:val="Flietext21"/>
        <w:keepNext w:val="false"/>
        <w:keepLines w:val="false"/>
        <w:widowControl w:val="false"/>
        <w:numPr>
          <w:ilvl w:val="0"/>
          <w:numId w:val="20"/>
        </w:numPr>
        <w:shd w:val="clear" w:color="auto" w:fill="auto"/>
        <w:tabs>
          <w:tab w:val="clear" w:pos="720"/>
          <w:tab w:val="left" w:pos="639" w:leader="none"/>
        </w:tabs>
        <w:bidi w:val="0"/>
        <w:spacing w:lineRule="auto" w:line="220" w:before="0" w:after="200"/>
        <w:ind w:left="0" w:right="0" w:firstLine="240"/>
        <w:jc w:val="left"/>
        <w:rPr/>
      </w:pPr>
      <w:r>
        <w:rPr>
          <w:color w:val="000000"/>
          <w:spacing w:val="0"/>
          <w:w w:val="100"/>
          <w:shd w:fill="auto" w:val="clear"/>
          <w:lang w:val="en-US" w:eastAsia="en-US" w:bidi="en-US"/>
        </w:rPr>
        <w:t>Locke, Zweite Abhandlung, Kap. II, Abschn. 8, Zeilen 10-27, S. 312-13.</w:t>
      </w:r>
    </w:p>
    <w:p>
      <w:pPr>
        <w:pStyle w:val="Flietext1"/>
        <w:keepNext w:val="false"/>
        <w:keepLines w:val="false"/>
        <w:widowControl w:val="false"/>
        <w:shd w:val="clear" w:color="auto" w:fill="auto"/>
        <w:bidi w:val="0"/>
        <w:spacing w:before="0" w:after="0"/>
        <w:ind w:left="0" w:right="0" w:firstLine="260"/>
        <w:jc w:val="both"/>
        <w:rPr/>
      </w:pPr>
      <w:r>
        <w:rPr>
          <w:color w:val="000000"/>
          <w:spacing w:val="0"/>
          <w:w w:val="100"/>
          <w:shd w:fill="auto" w:val="clear"/>
          <w:lang w:val="en-US" w:eastAsia="en-US" w:bidi="en-US"/>
        </w:rPr>
        <w:t>(Natürlich ist ein Taschenspielertrick beteiligt. Wo die Aneignung von Privateigentum „so viel und so gut“ hinterlässt, ist die Verletzung des Eigentumsrechts ein schockierendes Verbrechen, das von jemandem begangen wird, der zu faul oder bösartig ist, um seines aufzuheben eigene Äpfel, und ein solches Individuum wird daher leicht in den Status eines wilden Tieres assimiliert. Wo jedoch Geld - wie Locke selbst einräumt - jede Grenze der Aneignung beseitigt hat, darf der Verletzer von Eigentumsrechten nicht länger faul oder sadistisch sein, sondern ( da weit davon entfernt ist, dass so viel und so viel übrig bleibt, muss nichts mehr übrig bleiben) Hungern. Aquin, während er das Eigentumsrecht zum Status des Naturgesetzes erklärte, schlug vor, dass es für einen hungernden Mann nicht länger sei, von einem zu stehlen, der viel hatte ein Verbrechen,209 Selbsterhaltung ist ein höheres Gesetz als Eigentum; Locke besteht jedoch darauf, dass der einzig relevante Faktor Fleiß ist – es gäbe mehr als genug, wenn alle fleißig wären.210 Gott gab die Welt „zum Gebrauch der Fleißigen und Rationell ... nicht an die Phantasie oder Habgier der Streitsüchtigen und Streitsüchtigen.“211 Dieses Merkmal rechtfertigt mehr als alles andere seine eigene Anpassung an die kapitalistische Ethik – man muss nicht arm und hungrig sein, es sei denn, man ist auch faul und/oder böse.)</w:t>
      </w:r>
    </w:p>
    <w:p>
      <w:pPr>
        <w:pStyle w:val="Flietext1"/>
        <w:keepNext w:val="false"/>
        <w:keepLines w:val="false"/>
        <w:widowControl w:val="false"/>
        <w:shd w:val="clear" w:color="auto" w:fill="auto"/>
        <w:bidi w:val="0"/>
        <w:spacing w:before="0" w:after="260"/>
        <w:ind w:left="0" w:right="0" w:firstLine="260"/>
        <w:jc w:val="both"/>
        <w:rPr/>
      </w:pPr>
      <w:r>
        <w:rPr>
          <w:color w:val="000000"/>
          <w:spacing w:val="0"/>
          <w:w w:val="100"/>
          <w:shd w:fill="auto" w:val="clear"/>
          <w:lang w:val="en-US" w:eastAsia="en-US" w:bidi="en-US"/>
        </w:rPr>
        <w:t>Ein Vergleich von Locke und Hobbes zeigt, was Locke getan hat. Betrachten Sie die folgende Miniaturskizze: Die Quelle der Verpflichtung ist Naturrecht/Naturrecht, jede andere möglicherweise moralische Beziehung ist null und nichtig, wenn sie mit Naturrecht/Naturrecht kollidiert. Dieses natürliche Recht (Singular oder Plural) gehört dem Individuum, und die einzige Bedeutung, die dem Kollektiv beigemessen wird, ist seine Wirksamkeit beim Schutz dieses Rechts (dieser Rechte), das allein das Fortbestehen des Kollektivs und die Mitgliedschaft jedes Einzelnen darin rechtfertigt. Die Bedeutung und Natur dieses Grundrechts und der Ableitung der Regierung wird am besten herausgearbeitet, nicht durch spekulative Anthropologie, sondern durch spekulative Chirurgie – das heißt, indem man die gegenwärtige Situation nimmt und einfach die Regierung amputiert. Das Instrument des Vertrags betont die Beziehung zwischen Regierung und Individuum, ist aber immer metaphorisch zu verstehen, da ein Akt der Zustimmung nicht explizit isolierbar sein muss, sondern vielmehr der Tatsache zugeschrieben wird, dass die Regierung natürliche(s) Recht(e) schützt. Auch das Recht auf Bestrafung ist vorstaatlich und leitet sich direkt aus tatsächlichen oder potenziellen Verletzungen des Naturrechts ab.</w:t>
      </w:r>
    </w:p>
    <w:p>
      <w:pPr>
        <w:pStyle w:val="Flietext21"/>
        <w:keepNext w:val="false"/>
        <w:keepLines w:val="false"/>
        <w:widowControl w:val="false"/>
        <w:numPr>
          <w:ilvl w:val="0"/>
          <w:numId w:val="20"/>
        </w:numPr>
        <w:shd w:val="clear" w:color="auto" w:fill="auto"/>
        <w:tabs>
          <w:tab w:val="clear" w:pos="720"/>
          <w:tab w:val="left" w:pos="625" w:leader="none"/>
        </w:tabs>
        <w:bidi w:val="0"/>
        <w:spacing w:lineRule="auto" w:line="232" w:before="0" w:after="0"/>
        <w:ind w:left="0" w:right="0" w:firstLine="280"/>
        <w:jc w:val="both"/>
        <w:rPr/>
      </w:pPr>
      <w:r>
        <w:rPr>
          <w:color w:val="000000"/>
          <w:spacing w:val="0"/>
          <w:w w:val="100"/>
          <w:shd w:fill="auto" w:val="clear"/>
          <w:lang w:val="en-US" w:eastAsia="en-US" w:bidi="en-US"/>
        </w:rPr>
        <w:t>Hl. Thomas von Aquin, „Abhandlung über das Recht“, in Summa Theo/ogica, Sec. 21, Qu.66, Art.7 Canel.: H, jedoch besteht eine so dringende und offensichtliche Notwendigkeit, dass eindeutig ein sofortiger Bedarf an notwendiger Nahrung besteht – wenn beispielsweise eine Person in unmittelbarer Gefahr körperlicher Entbehrungen ist und dort Es gibt keinen anderen Weg, sein Bedürfnis zu befriedigen, - dann kann er das Notwendige entweder offen oder heimlich von den Gütern einer anderen Person nehmen. Genau genommen handelt es sich auch nicht um Betrug oder Raub. Seltsamerweise wird dies unter der Überschrift „Die Pflicht der Nächstenliebe“ diskutiert.</w:t>
      </w:r>
    </w:p>
    <w:p>
      <w:pPr>
        <w:pStyle w:val="Flietext21"/>
        <w:keepNext w:val="false"/>
        <w:keepLines w:val="false"/>
        <w:widowControl w:val="false"/>
        <w:numPr>
          <w:ilvl w:val="0"/>
          <w:numId w:val="20"/>
        </w:numPr>
        <w:shd w:val="clear" w:color="auto" w:fill="auto"/>
        <w:tabs>
          <w:tab w:val="clear" w:pos="720"/>
          <w:tab w:val="left" w:pos="650" w:leader="none"/>
        </w:tabs>
        <w:bidi w:val="0"/>
        <w:spacing w:lineRule="auto" w:line="189" w:before="0" w:after="0"/>
        <w:ind w:left="0" w:right="0" w:firstLine="260"/>
        <w:jc w:val="left"/>
        <w:rPr/>
      </w:pPr>
      <w:r>
        <w:rPr>
          <w:color w:val="000000"/>
          <w:spacing w:val="0"/>
          <w:w w:val="100"/>
          <w:shd w:fill="auto" w:val="clear"/>
          <w:lang w:val="en-US" w:eastAsia="en-US" w:bidi="en-US"/>
        </w:rPr>
        <w:t>Locke, Zweite Abhandlung, Kap. V, Sek. 36, p. 335.</w:t>
      </w:r>
    </w:p>
    <w:p>
      <w:pPr>
        <w:pStyle w:val="Flietext21"/>
        <w:keepNext w:val="false"/>
        <w:keepLines w:val="false"/>
        <w:widowControl w:val="false"/>
        <w:numPr>
          <w:ilvl w:val="0"/>
          <w:numId w:val="20"/>
        </w:numPr>
        <w:shd w:val="clear" w:color="auto" w:fill="auto"/>
        <w:tabs>
          <w:tab w:val="clear" w:pos="720"/>
          <w:tab w:val="left" w:pos="650" w:leader="none"/>
        </w:tabs>
        <w:bidi w:val="0"/>
        <w:spacing w:lineRule="auto" w:line="189" w:before="0" w:after="200"/>
        <w:ind w:left="0" w:right="0" w:firstLine="260"/>
        <w:jc w:val="left"/>
        <w:rPr/>
      </w:pPr>
      <w:r>
        <w:rPr>
          <w:color w:val="000000"/>
          <w:spacing w:val="0"/>
          <w:w w:val="100"/>
          <w:shd w:fill="auto" w:val="clear"/>
          <w:lang w:val="en-US" w:eastAsia="en-US" w:bidi="en-US"/>
        </w:rPr>
        <w:t>Locke, Zweite Abhandlung, Kap. V, Sek. 34, p. 335.</w:t>
      </w:r>
    </w:p>
    <w:p>
      <w:pPr>
        <w:pStyle w:val="Flietext1"/>
        <w:keepNext w:val="false"/>
        <w:keepLines w:val="false"/>
        <w:widowControl w:val="false"/>
        <w:shd w:val="clear" w:color="auto" w:fill="auto"/>
        <w:bidi w:val="0"/>
        <w:spacing w:before="0" w:after="200"/>
        <w:ind w:left="0" w:right="0" w:firstLine="280"/>
        <w:jc w:val="both"/>
        <w:rPr/>
      </w:pPr>
      <w:r>
        <w:rPr>
          <w:color w:val="000000"/>
          <w:spacing w:val="0"/>
          <w:w w:val="100"/>
          <w:shd w:fill="auto" w:val="clear"/>
          <w:lang w:val="en-US" w:eastAsia="en-US" w:bidi="en-US"/>
        </w:rPr>
        <w:t>Das Obige könnte sowohl für Hobbes als auch für Locke gelten, aber die Details variieren erheblich. Das Naturgesetz von Hobbes ist eine Verallgemeinerung des rationalen Verhaltens von Menschen, basierend auf Selbsterhaltung, und Bestrafung leitet sich vom Recht aller Menschen auf alles ab, was sie für das Überleben und die Sicherheit als notwendig erachten. Weil das Hobbessche Naturrecht so minimal ist und weil der natürliche Zustand der Menschheit so schrecklich ist, braucht er das Konzept des Souveräns, des Gesetzes (als Befehl dessen, der die Macht hat, es durchzusetzen) und der Gruppe als nichts anderes als sein eigenes Führer. Lockes Ansatz ist ganz anders. Sein Naturrecht hat eine viel größere Beziehung zu einem festen Gesetzbuch, und das Recht zu bestrafen ist immer genau das gleiche wie in einem festen Zivilstand, außer dass es im Naturzustand willkürlicher gehandhabt werden kann. Bei all seinem Gerede über die Legislative zeichnet sich Lockes Staat dadurch aus, dass er keine gesetzgebende Körperschaft im populären Verständnis dieses Begriffs hat. Ein Hobbes'sches Zivilrecht ist Recht im modernen Sinne, die Schaffung eines Straftatbestandes, und damit hat die Hobbes'sche Rechtsanalyse eine bedeutende und nachhaltige rechtsphilosophische Schule ausgelöst. Für Locke darf jedoch kein menschliches Zivilorgan Straftaten schaffen, die eine Bestrafung rechtfertigen; er hat die wichtigste Seite dieses Arguments in Form des christlichen Angriffs eingeräumt, dass Nr</w:t>
      </w:r>
    </w:p>
    <w:p>
      <w:pPr>
        <w:pStyle w:val="Flietext1"/>
        <w:keepNext w:val="false"/>
        <w:keepLines w:val="false"/>
        <w:widowControl w:val="false"/>
        <w:shd w:val="clear" w:color="auto" w:fill="auto"/>
        <w:bidi w:val="0"/>
        <w:spacing w:before="0" w:after="0"/>
        <w:ind w:left="0" w:right="0" w:hanging="0"/>
        <w:jc w:val="both"/>
        <w:rPr/>
      </w:pPr>
      <w:r>
        <w:rPr>
          <w:color w:val="000000"/>
          <w:spacing w:val="0"/>
          <w:w w:val="100"/>
          <w:shd w:fill="auto" w:val="clear"/>
          <w:lang w:val="en-US" w:eastAsia="en-US" w:bidi="en-US"/>
        </w:rPr>
        <w:t>Vertrag kann die Todesstrafe rechtfertigen. Strafe wird vorpolitisch durch die Verletzung von Naturrechten gerechtfertigt, und jede menschliche Zivilverfügung ist weniger ein Gesetz (= eine Straftat) als vielmehr ein Strafplan oder eine klarere Aussage dessen, was bereits eine Straftat war. Die gesetzgebende Körperschaft für Locke ist Gott im Naturzustand durch das Naturrecht. Alle</w:t>
      </w:r>
    </w:p>
    <w:p>
      <w:pPr>
        <w:pStyle w:val="Flietext1"/>
        <w:keepNext w:val="false"/>
        <w:keepLines w:val="false"/>
        <w:widowControl w:val="false"/>
        <w:shd w:val="clear" w:color="auto" w:fill="auto"/>
        <w:bidi w:val="0"/>
        <w:spacing w:before="0" w:after="0"/>
        <w:ind w:left="0" w:right="0" w:hanging="0"/>
        <w:jc w:val="both"/>
        <w:rPr/>
      </w:pPr>
      <w:r>
        <w:rPr>
          <w:color w:val="000000"/>
          <w:spacing w:val="0"/>
          <w:w w:val="100"/>
          <w:shd w:fill="auto" w:val="clear"/>
          <w:lang w:val="en-US" w:eastAsia="en-US" w:bidi="en-US"/>
        </w:rPr>
        <w:t>dass die Mitglieder sich der Regierung unterwerfen, ist ihr Recht, Verstöße gegen das Naturgesetz zu bestrafen; daher hat die Regierung kein Recht, irgendetwas anderes zu tun, als solche Verletzungen zu bestrafen, und alle Neuerungen sind entweder gleichgültig oder illegitim. Wenn Hobbes einer der Philosophen ist, der uns den Begriff der Souveränität gegeben hat, lehnt Locke implizit jeden Begriff der politischen Souveränität ab; daher die Sinnlosigkeit jedes Versuchs, ihn zu einem erprobten und wahren Mehrheitsführer zu machen.</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In diesem Sinne hat der Lockesche Staat eine bemerkenswerte Ähnlichkeit mit Platons Magnesia in seinem Dialog Die Gesetze. Es ist von großer Bedeutung, dass keine von ihnen über ein echtes gesetzgebendes Gremium verfügt. In beiden Fällen wird vorher das Grundgesetz festgelegt, das in der Zivilgesellschaft verwirklicht, aber nicht verändert werden soll; Innerhalb der Zivilgesellschaft gibt es nur Gremien, die geringfügige Änderungen an den Bestimmungen oder Einzelheiten der Ausführung dieser Gesetze vornehmen können. In dieser Hinsicht besteht der einzige Unterschied darin, dass Locke weniger Vertrauen in die Diskretion dieser Führungsgruppe zeigte und als Rückhalt das Recht auf Rebellion hinzufügte. Platon hat keinen Platz für eine Versammlung im griechischen Sinne, obwohl er den Begriff fröhlich verwendet, genauso wie Locke keinen Platz für eine gesetzgebende Körperschaft im üblichen Sinne hat – eine gesetzgebende Körperschaft zuzulassen, eine Körperschaft, die neue Straftaten schafft, wäre zu zerstöre die ganze Argumentation. Daher sind sowohl Platons Versammlung als auch Lockes Legislative Ablenkungsmanöver, die terminologische Oberfläche lenkt von der funktionalen Realität ab. Eine übermäßige Betonung von beidem ohne genaue Untersuchung der genauen Änderungen, die in den Begriffen vorgenommen werden, ist nicht nur irreführend, sondern schließt ein angemessenes Verständnis der gesamten Argumentation aus. Für Platon ist das „Gegebene“ eine Verfassung; für Locke ist es das Naturgesetz – wir weisen auf Parallelität hin, nicht auf Identität.</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Daher auch der bedeutendste Unterschied zwischen Locke und Hobbes in Bezug auf die Verpflichtung. Für Hobbes ist das Wichtigste an einem Gesetz, dass der Souverän es gesagt hat; Wir bewerten alle Gesetze in einem Gremium und begründen sie in Bezug auf ihren Urheber. Bei Locke hingegen blicken wir bei der Frage, ob wir dem Gesetz gehorchen sollen oder nicht, direkt am betreffenden menschlichen Körper (König oder Parlament oder was auch immer) vorbei auf das Naturgesetz; Gesetze individuell gerechtfertigt sind (selbst wenn nur die systematische Verletzung von Naturrechten eine Rebellion rechtfertigt). Weil man über die betreffende politische Instanz hinausschaut, ist Locke der Verfassungsform so gleichgültig, dass er sie der Mehrheitsbestimmung zugesteht.</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Zu sagen, dass in Lockes Ansatz implizit ein Versuch einer universalistischen Theorie der Politik enthalten ist, bedeutet in keiner Weise, seine tiefe Loyalität gegenüber der englischen Verfassung von 1688 (die er als „die beste, die es je gab“212) zu schmälern, aber vielmehr darauf zu bestehen, dass der polemische Locke durch einen philosophischen Locke ausgeglichen wird, und während erstere über England im späten siebzehnten Jahrhundert sprachen, versuchte letzterer, über Politik im Allgemeinen zu sprechen, insbesondere über die Grundlagen einer legitimen Regierung. Diese Grundlage war Zustimmung, und es galt für jede legitime Regierung, überall und zu jeder Zeit, dass sie auf der Zustimmung der Mitglieder der Gesellschaft beruhte. Dies, gepaart mit den Mehrheitsvorschlägen, hat Locke einen Platz im Pantheon der Demokratietheoretiker eingebracht, aber dies ist ein ziemlicher Fehlstart und eine Sackgasse für das Verständnis von Locke; sie verwechselt das Empirische (unter welchen Bedingungen findet Rebellion statt?) mit dem Rechtfertigenden (unter welchen Bedingungen ist Rebellion legitim?). Das Zustimmungsargument wird am besten nicht im Zusammenhang mit „Mehrheits“-Vorschlägen gelesen, sondern eher in Bezug auf „Naturgesetz“-Vorschläge – wie zuvor argumentiert, ist die Zustimmung immer eine unterstellte Zustimmung, und sie wird immer im Hinblick auf den tatsächlichen Schutz der Natur unterstellt Rechte. Lockes ist eine Apologetik des Status quo (der bestehenden Regierung gehorchend) mit Einschränkungen (es sei denn, diese Regierung demonstriert einen behäbigen Plan, die natürlichen Rechte ihrer Untertanen zu verletzen); sein Widerstandsrecht wird nicht im Sinne von Abweichungen von englischen Verfassungsformen, sondern im Sinne von Naturrechten postuliert. Das macht Locke zu einem seltsamen Vertragspartner – da er immer wusste, was der Inhalt jedes Vertrags war, weil sie alle gleich sein mussten –, aber zu einem ziemlich typischen Naturrechtsphilosophen.</w:t>
      </w:r>
    </w:p>
    <w:p>
      <w:pPr>
        <w:pStyle w:val="Flietext1"/>
        <w:keepNext w:val="false"/>
        <w:keepLines w:val="false"/>
        <w:widowControl w:val="false"/>
        <w:shd w:val="clear" w:color="auto" w:fill="auto"/>
        <w:bidi w:val="0"/>
        <w:spacing w:before="0" w:after="260"/>
        <w:ind w:left="0" w:right="0" w:firstLine="320"/>
        <w:jc w:val="both"/>
        <w:rPr/>
      </w:pPr>
      <w:r>
        <w:rPr>
          <w:color w:val="000000"/>
          <w:spacing w:val="0"/>
          <w:w w:val="100"/>
          <w:shd w:fill="auto" w:val="clear"/>
          <w:lang w:val="en-US" w:eastAsia="en-US" w:bidi="en-US"/>
        </w:rPr>
        <w:t>Wie Seliger es ausdrückt, ist Locke kein Demokrat, sondern nur ein Liberaler, der sich nicht dem Majoritarismus verschrieben hat, sondern nur einer begrenzten Regierung. Der Staat ist kein Leviathan mit absoluten Befugnissen, sondern ein Zugpferd auf dem Treidelpfad des Kanals, streng auf einen festen Kurs beschränkt. Dies, wie es oft getan wird, mit treuhänderischen und begrenzten Befugnissen zu beschreiben, ist nur dann sinnvoll, wenn vorausgesetzt wird, dass die Verdoppelung von Adjektiven an das Tautologische heranreicht. Es ist nicht nur so, dass die Regierungsbefugnisse durch das begrenzt sind, was das Volk beschlossen hat, es zu gewähren, sondern dass das Volk in den Befugnissen, die es zu gewähren beschließt, begrenzt ist; das einzige Recht, das der Einzelne dem Staat abtreten kann, ist das Recht, Verstöße gegen das Naturgesetz zu ahnden. wenn die Regierung mehr tut, verhält sie sich illegitim, und wenn die Menschen versuchen, sie dazu zu ermächtigen, mehr zu tun, verhalten sie sich selbst illegitim. Wie bereits bei Platon und Hobbes angedeutet, besteht das Ergebnis von Lockes Behandlung darin, den Umfang des Politischen stark einzuschränken und den größten Teil seines früheren Inhalts aus der Politik herauszulesen.</w:t>
      </w:r>
    </w:p>
    <w:p>
      <w:pPr>
        <w:pStyle w:val="Flietext21"/>
        <w:keepNext w:val="false"/>
        <w:keepLines w:val="false"/>
        <w:widowControl w:val="false"/>
        <w:numPr>
          <w:ilvl w:val="0"/>
          <w:numId w:val="21"/>
        </w:numPr>
        <w:shd w:val="clear" w:color="auto" w:fill="auto"/>
        <w:tabs>
          <w:tab w:val="clear" w:pos="720"/>
          <w:tab w:val="left" w:pos="639" w:leader="none"/>
        </w:tabs>
        <w:bidi w:val="0"/>
        <w:spacing w:lineRule="auto" w:line="240" w:before="0" w:after="200"/>
        <w:ind w:left="0" w:right="0" w:firstLine="240"/>
        <w:jc w:val="left"/>
        <w:rPr/>
      </w:pPr>
      <w:r>
        <w:rPr>
          <w:color w:val="000000"/>
          <w:spacing w:val="0"/>
          <w:w w:val="100"/>
          <w:shd w:fill="auto" w:val="clear"/>
          <w:lang w:val="en-US" w:eastAsia="en-US" w:bidi="en-US"/>
        </w:rPr>
        <w:t>zitiert in Dunn, op. cit., p. 53.</w:t>
      </w:r>
    </w:p>
    <w:p>
      <w:pPr>
        <w:pStyle w:val="Flietext1"/>
        <w:keepNext w:val="false"/>
        <w:keepLines w:val="false"/>
        <w:widowControl w:val="false"/>
        <w:shd w:val="clear" w:color="auto" w:fill="auto"/>
        <w:bidi w:val="0"/>
        <w:spacing w:before="0" w:after="0"/>
        <w:ind w:left="0" w:right="0" w:firstLine="300"/>
        <w:jc w:val="both"/>
        <w:rPr/>
      </w:pPr>
      <w:r>
        <w:rPr>
          <w:color w:val="000000"/>
          <w:spacing w:val="0"/>
          <w:w w:val="100"/>
          <w:shd w:fill="auto" w:val="clear"/>
          <w:lang w:val="en-US" w:eastAsia="en-US" w:bidi="en-US"/>
        </w:rPr>
        <w:t>Die Betonung des Vertragsgeräts verschleiert nur den wahren Inhalt der Lockeschen Verpflichtungstheorie. Da es sich um einen unterstellten Vertrag handelt, verwirrt er das Problem nur, indem er die Zustimmung immer dünner und dünner zieht, bis sie in seiner Hand zerbricht, und die Transparenz der „stillschweigenden Zustimmung“ als verpflichtendes Faktum ist schwächend, es sei denn, die hypothetische Natur aller Zustimmungen wird verstanden. Da Männer unter bestimmten Bedingungen zustimmen sollten und sich rational oder moralisch nicht dafür entscheiden können, nicht zuzustimmen, argumentiert Locke, dass sie zugestimmt haben, und wie beim Recht auf Rebellion bringt er die Frage nur durcheinander, wenn er „sollte“- und „tun“-Argumente verwebt durcheinander.</w:t>
      </w:r>
    </w:p>
    <w:p>
      <w:pPr>
        <w:pStyle w:val="Flietext1"/>
        <w:keepNext w:val="false"/>
        <w:keepLines w:val="false"/>
        <w:widowControl w:val="false"/>
        <w:shd w:val="clear" w:color="auto" w:fill="auto"/>
        <w:bidi w:val="0"/>
        <w:spacing w:before="0" w:after="260"/>
        <w:ind w:left="0" w:right="0" w:firstLine="300"/>
        <w:jc w:val="both"/>
        <w:rPr/>
      </w:pPr>
      <w:r>
        <w:rPr>
          <w:color w:val="000000"/>
          <w:spacing w:val="0"/>
          <w:w w:val="100"/>
          <w:shd w:fill="auto" w:val="clear"/>
          <w:lang w:val="en-US" w:eastAsia="en-US" w:bidi="en-US"/>
        </w:rPr>
        <w:t>Der Kern von Lockes Idee der Verpflichtung liegt in seinem Konzept des Naturrechts, das einerseits als politisches Mittel dient und andererseits als Mittel, um Themen vollständig aus der Politik zu entfernen. Eigentum, Freiheit, Strafe – diese bedürfen keiner Bestätigung durch die Zivilbehörde, geschweige denn werden sie von ihr geschaffen. Weil sie vor der Regierung existieren, weil die Regierung nur durch ihre Verwirklichung und ihren Schutz gerechtfertigt ist, können sie von der Regierung nicht geändert werden. Wie Platon hat Locke eine primär statische Theorie der Regierung; Politik ist nicht so sehr der Zusammenprall und die Versöhnung widerstreitender Ideen und Interessen, sondern die Verwaltung eines zuvor gegebenen normativen Musters. Diese Rechte werden nicht so sehr an sich verteidigt und gerechtfertigt, sondern über die Notwendigkeit der Verteidigung und Rechtfertigung hinausgehoben. insofern es immer „neben meiner gegenwärtigen Absicht“ war, den Inhalt des Naturrechts über diese Schlüsselbegriffe hinaus zu skizzieren, und immer neben dem Punkt, das Naturrecht als solches zu verteidigen (nach Dunn213 die Passagen des Essay Concerning Human Understanding, die solche enthalten a Verteidigung aus allen Ausgaben nach der ersten entfernt wurden), ist die Transparenz eines solchen Mittels offensichtlich – es ist eine alltägliche Beobachtung, dass die Kluft zwischen dem Empirismus des Essays (der alle angeborenen Ideen leugnet) und dem Rationalismus der Abhandlungen (die Annahme von a Naturrecht) ist praktisch unüberbrückbar. Ob Frömmigkeit oder Vernunftglaube die Grundlage für diesen Schritt waren, bedeutsam ist der Versuch, einige politische Themen ganz aus der politischen Arena herauszulesen und sie nicht im Sinne einer politischen, sondern einer vorpolitischen Verpflichtung zu verteidigen .</w:t>
      </w:r>
    </w:p>
    <w:p>
      <w:pPr>
        <w:pStyle w:val="Flietext51"/>
        <w:keepNext w:val="false"/>
        <w:keepLines w:val="false"/>
        <w:widowControl w:val="false"/>
        <w:shd w:val="clear" w:color="auto" w:fill="auto"/>
        <w:bidi w:val="0"/>
        <w:spacing w:lineRule="auto" w:line="240" w:before="0" w:after="0"/>
        <w:ind w:left="0" w:right="0" w:firstLine="260"/>
        <w:jc w:val="left"/>
        <w:rPr/>
      </w:pPr>
      <w:r>
        <w:rPr>
          <w:color w:val="000000"/>
          <w:spacing w:val="0"/>
          <w:w w:val="100"/>
          <w:shd w:fill="auto" w:val="clear"/>
          <w:lang w:val="en-US" w:eastAsia="en-US" w:bidi="en-US"/>
        </w:rPr>
        <w:t>213</w:t>
      </w:r>
    </w:p>
    <w:p>
      <w:pPr>
        <w:sectPr>
          <w:footerReference w:type="even" r:id="rId19"/>
          <w:footerReference w:type="default" r:id="rId20"/>
          <w:type w:val="nextPage"/>
          <w:pgSz w:w="12240" w:h="15840"/>
          <w:pgMar w:left="1486" w:right="1484" w:gutter="0" w:header="0" w:top="1432" w:footer="810" w:bottom="1238"/>
          <w:pgNumType w:fmt="decimal"/>
          <w:formProt w:val="false"/>
          <w:textDirection w:val="lrTb"/>
          <w:docGrid w:type="default" w:linePitch="360" w:charSpace="0"/>
        </w:sectPr>
        <w:pStyle w:val="Flietext21"/>
        <w:keepNext w:val="false"/>
        <w:keepLines w:val="false"/>
        <w:widowControl w:val="false"/>
        <w:shd w:val="clear" w:color="auto" w:fill="auto"/>
        <w:bidi w:val="0"/>
        <w:spacing w:lineRule="auto" w:line="180" w:before="0" w:after="0"/>
        <w:ind w:left="0" w:right="0" w:firstLine="580"/>
        <w:jc w:val="left"/>
        <w:rPr/>
      </w:pPr>
      <w:r>
        <w:rPr>
          <w:color w:val="000000"/>
          <w:spacing w:val="0"/>
          <w:w w:val="100"/>
          <w:shd w:fill="auto" w:val="clear"/>
          <w:lang w:val="en-US" w:eastAsia="en-US" w:bidi="en-US"/>
        </w:rPr>
        <w:t>Dann op. zitiert</w:t>
      </w:r>
    </w:p>
    <w:p>
      <w:pPr>
        <w:pStyle w:val="Berschrift11"/>
        <w:keepNext w:val="true"/>
        <w:keepLines/>
        <w:widowControl w:val="false"/>
        <w:numPr>
          <w:ilvl w:val="0"/>
          <w:numId w:val="22"/>
        </w:numPr>
        <w:shd w:val="clear" w:color="auto" w:fill="auto"/>
        <w:tabs>
          <w:tab w:val="clear" w:pos="720"/>
          <w:tab w:val="left" w:pos="457" w:leader="none"/>
        </w:tabs>
        <w:bidi w:val="0"/>
        <w:spacing w:lineRule="auto" w:line="240" w:before="0" w:after="420"/>
        <w:ind w:left="0" w:right="0" w:hanging="0"/>
        <w:jc w:val="left"/>
        <w:rPr/>
      </w:pPr>
      <w:hyperlink w:anchor="bookmark11" w:tgtFrame="Current Document">
        <w:bookmarkStart w:id="27" w:name="bookmark36"/>
        <w:bookmarkStart w:id="28" w:name="bookmark38"/>
        <w:bookmarkStart w:id="29" w:name="bookmark37"/>
        <w:r>
          <w:rPr>
            <w:spacing w:val="0"/>
            <w:w w:val="100"/>
            <w:shd w:fill="auto" w:val="clear"/>
            <w:lang w:val="en-US" w:eastAsia="en-US" w:bidi="en-US"/>
          </w:rPr>
          <w:t>Das entwickelte Thema: 3. Rousseau</w:t>
        </w:r>
      </w:hyperlink>
      <w:bookmarkEnd w:id="27"/>
      <w:bookmarkEnd w:id="28"/>
      <w:bookmarkEnd w:id="29"/>
    </w:p>
    <w:p>
      <w:pPr>
        <w:pStyle w:val="Flietext1"/>
        <w:keepNext w:val="false"/>
        <w:keepLines w:val="false"/>
        <w:widowControl w:val="false"/>
        <w:shd w:val="clear" w:color="auto" w:fill="auto"/>
        <w:bidi w:val="0"/>
        <w:spacing w:before="0" w:after="260"/>
        <w:ind w:left="0" w:right="0" w:firstLine="320"/>
        <w:jc w:val="both"/>
        <w:rPr/>
      </w:pPr>
      <w:r>
        <w:rPr>
          <w:color w:val="000000"/>
          <w:spacing w:val="0"/>
          <w:w w:val="100"/>
          <w:shd w:fill="auto" w:val="clear"/>
          <w:lang w:val="en-US" w:eastAsia="en-US" w:bidi="en-US"/>
        </w:rPr>
        <w:t>Wie Locke unterliegt Rousseau unterschiedlichen Interpretationen. Wo einige einen Rückkehr-zur-Natur-Faddisten (Strauss) sehen,568 finden andere einen frühen liberalen Demokraten (z. B. Chapman,569 Cameron570) und einige einen Kollektivisten (Babbitt)571 und sogar einen totalitären Crocker,572 Nisbet573, fragt Thomson rhetorisch „Ist Rousseau , then, to to be seen as an Demokrat, a Socialist, a Champion of totalitarian Despotism, and an Archist.“574 Dies gibt einen Eindruck von der Bandbreite alternativer Interpretationen, die es gibt Vorliebe für Paradoxien und Rätsel, selbst allgemein sympathische Schriftsteller (wie Shklar575 und Sabine576) geben zu, dass er sich oft widerspricht. Wie Wright es ausdrückt:</w:t>
      </w:r>
    </w:p>
    <w:p>
      <w:pPr>
        <w:pStyle w:val="Flietext1"/>
        <w:keepNext w:val="false"/>
        <w:keepLines w:val="false"/>
        <w:widowControl w:val="false"/>
        <w:shd w:val="clear" w:color="auto" w:fill="auto"/>
        <w:bidi w:val="0"/>
        <w:spacing w:before="0" w:after="340"/>
        <w:ind w:left="320" w:right="0" w:firstLine="300"/>
        <w:jc w:val="left"/>
        <w:rPr/>
      </w:pPr>
      <w:r>
        <w:rPr>
          <w:color w:val="000000"/>
          <w:spacing w:val="0"/>
          <w:w w:val="100"/>
          <w:shd w:fill="auto" w:val="clear"/>
          <w:vertAlign w:val="superscript"/>
          <w:lang w:val="en-US" w:eastAsia="en-US" w:bidi="en-US"/>
        </w:rPr>
        <w:t>Mancher Kritiker wirft die Hände in die Luft, wenn Rousseau seinem auserwählten Schüler eine Art Erziehung gibt, aber den Jungen Polens eine andere vorschreibt; wenn er das Eigentum als die Wurzel fast all unseres Übels bezeichnet und es dann als eine heilige Institution behandelt; wenn er für individuelle Freiheit und im gleichen Atemzug für absolute Unterwerfung unter den Staat plädiert; wenn er Toleranz für alle Menschen predigt und Atheisten aus seiner Republik verbannt; wenn er ein stolzer Aristokrat und ein verderblicher Gleichmacher ist, ein Reformer, der nur zurückblickt, und ein Revolutionär, der Angst hat, den ersten Schritt nach vorne zu tun, und ein Dutzend anderer widersprüchlicher Dinge durch Anfälle.568</w:t>
      </w:r>
    </w:p>
    <w:p>
      <w:pPr>
        <w:pStyle w:val="Flietext1"/>
        <w:keepNext w:val="false"/>
        <w:keepLines w:val="false"/>
        <w:widowControl w:val="false"/>
        <w:shd w:val="clear" w:color="auto" w:fill="auto"/>
        <w:bidi w:val="0"/>
        <w:spacing w:before="0" w:after="0"/>
        <w:ind w:left="0" w:right="0" w:firstLine="300"/>
        <w:jc w:val="both"/>
        <w:rPr/>
      </w:pPr>
      <w:r>
        <w:rPr>
          <w:color w:val="000000"/>
          <w:spacing w:val="0"/>
          <w:w w:val="100"/>
          <w:shd w:fill="auto" w:val="clear"/>
          <w:lang w:val="en-US" w:eastAsia="en-US" w:bidi="en-US"/>
        </w:rPr>
        <w:t>Um Rousseau sinnvoll und nützlich zu diskutieren, ist es daher notwendig, aus diesen Optionen eine mehr oder weniger kohärente und konsistente Sicht dessen zu abstrahieren, was er zu erreichen versuchte. Die hier diskutierte Interpretation soll Rousseaus Verwendung des Gesellschaftsvertrags als philosophisches Mittel hervorheben und sowohl die Ähnlichkeiten als auch die Unterschiede zwischen der Position von Rousseau und der der anderen diskutierten Vertragsparteien hervorheben. Es wird argumentiert, dass Rousseaus Verwendung von Verträgen viel weniger zusammenhangslos und logisch fehlerhaft ist, als gewöhnlich angenommen wird, und dass Rousseau, der so glatt als antirationaler Romantiker zurückgewiesen wird, oder so freimütig einer totalitären und sogar hegelianischen Sichtweise der assimiliert wird Staat, hat wenig mit dem historischen Rousseau zu tun. Die Diskussion basiert auf den Deuxieme Discours (Discours sur l'origine de l'inegalite parmi les hommes) und Du Contrat Social, mit gelegentlichen Verweisen auf emile. Vielleicht liegt in diesem Unterfangen ein Element der Fragestellung, so wie Rousseaus Methode den intakten natürlichen Menschen annimmt, was eines der Dinge ist, die er zu demonstrieren versucht, so wird diese Diskussion die Konsequenz Rousseaus voraussetzen, die sie zu rechtfertigen versucht. Insofern das, was ein Denker findet, eine Funktion dessen ist, wonach er sucht (eine Art philosophische Version von Heisenbergs Unbestimmtheitsprinzip), ist ein gewisses Maß an Zirkularität unvermeidlich, wenn wir nicht nach einem kohärenten Rousseau suchen, werden wir sicherlich nicht finden eins.</w:t>
      </w:r>
    </w:p>
    <w:p>
      <w:pPr>
        <w:pStyle w:val="Flietext1"/>
        <w:keepNext w:val="false"/>
        <w:keepLines w:val="false"/>
        <w:widowControl w:val="false"/>
        <w:shd w:val="clear" w:color="auto" w:fill="auto"/>
        <w:bidi w:val="0"/>
        <w:spacing w:before="0" w:after="280"/>
        <w:ind w:left="0" w:right="0" w:firstLine="300"/>
        <w:jc w:val="both"/>
        <w:rPr/>
      </w:pPr>
      <w:r>
        <w:rPr>
          <w:color w:val="000000"/>
          <w:spacing w:val="0"/>
          <w:w w:val="100"/>
          <w:shd w:fill="auto" w:val="clear"/>
          <w:vertAlign w:val="superscript"/>
          <w:lang w:val="en-US" w:eastAsia="en-US" w:bidi="en-US"/>
        </w:rPr>
        <w:t>Rousseau beginnt routiniert genug – mit einem „natürlichen Menschen“ und einem „Naturzustand“, einem gängigen Eröffnungszug im zeitgenössischen politischen Diskurs. Die Bedingungen, die er postuliert, ähneln jedoch weder Hobbes noch Locke – gleichermaßen sind sowohl der Kriegszustand als auch die natürliche Geselligkeit. In Rousseaus Naturzustand ist der Mensch nicht nur vorpolitisch, sondern geradezu vormenschlich (wie er selbst zugibt). Er ist Einzelgänger, neigt dazu, seine eigene Gesellschaft zu pflegen, und wenn seine begrenzten und sporadischen Kontakte mit anderen Personen nicht zu Konflikten führen, spielen sie auch keine Rolle in der sozialen Interaktion. Da die Sprache ein soziales Phänomen ist, fehlt dem natürlichen Menschen in seinem frühesten Zustand sein Segen, und da „(r)reason is coterminous with language“224, fehlt auch dieser. „Als vorsozialer Mensch ist der natürliche Mensch vorrational.“225</w:t>
      </w:r>
    </w:p>
    <w:p>
      <w:pPr>
        <w:pStyle w:val="Flietext21"/>
        <w:keepNext w:val="false"/>
        <w:keepLines w:val="false"/>
        <w:widowControl w:val="false"/>
        <w:numPr>
          <w:ilvl w:val="0"/>
          <w:numId w:val="23"/>
        </w:numPr>
        <w:shd w:val="clear" w:color="auto" w:fill="auto"/>
        <w:tabs>
          <w:tab w:val="clear" w:pos="720"/>
          <w:tab w:val="left" w:pos="625" w:leader="none"/>
        </w:tabs>
        <w:bidi w:val="0"/>
        <w:spacing w:lineRule="auto" w:line="216" w:before="0" w:after="220"/>
        <w:ind w:left="0" w:right="0" w:firstLine="300"/>
        <w:jc w:val="both"/>
        <w:rPr/>
      </w:pPr>
      <w:r>
        <w:rPr>
          <w:color w:val="000000"/>
          <w:spacing w:val="0"/>
          <w:w w:val="100"/>
          <w:shd w:fill="auto" w:val="clear"/>
          <w:lang w:val="en-US" w:eastAsia="en-US" w:bidi="en-US"/>
        </w:rPr>
        <w:t>Ernest Hunter Wright, The Meaning of Rousseau (London: Oxford University Press, 1929), p. 1.</w:t>
      </w:r>
    </w:p>
    <w:p>
      <w:pPr>
        <w:pStyle w:val="Flietext1"/>
        <w:keepNext w:val="false"/>
        <w:keepLines w:val="false"/>
        <w:widowControl w:val="false"/>
        <w:shd w:val="clear" w:color="auto" w:fill="auto"/>
        <w:bidi w:val="0"/>
        <w:spacing w:lineRule="auto" w:line="261" w:before="0" w:after="260"/>
        <w:ind w:left="0" w:right="0" w:firstLine="300"/>
        <w:jc w:val="both"/>
        <w:rPr/>
      </w:pPr>
      <w:r>
        <w:rPr>
          <w:color w:val="000000"/>
          <w:spacing w:val="0"/>
          <w:w w:val="100"/>
          <w:shd w:fill="auto" w:val="clear"/>
          <w:lang w:val="en-US" w:eastAsia="en-US" w:bidi="en-US"/>
        </w:rPr>
        <w:t>Das Argument wird in den Deuxieme Discours in einer Weise präsentiert, die an einen Versuch der Geschichte denken lässt.226 In seinen frühesten Stadien ist der Zustand der Natur der von isolierten und dünn verstreuten Individuen, von denen jeder zu Gefühlen von Mitleid und Mitgefühl fähig ist, wenn er ihm begegnet ein anderes Individuum in Schwierigkeiten, aber ziemlich asozial und ohne jegliche Motivation für Kooperation oder Konflikt. Für Locke bedeuten die Gesellschaft und der Vertrag nur die Einrichtung eines gemeinsamen Richters über alles zur Regulierung dessen, was vorher war, aber für Rousseau sind viel tiefgreifendere Veränderungen erforderlich, sowohl innerhalb als auch zwischen den Individuen, um die Kluft zwischen dem Staat zu überbrücken Natur und der Zivilgesellschaft. Man kann nicht sagen, dass seine Einstellung zu diesem Naturzustand frei von Ambivalenzen ist. Mabbott neigt dazu, Rousseau so zu interpretieren, dass er „mit der Verehrung des Edlen Wilden und des Goldenen Zeitalters“ begann, aber diese „Identifikation des Natürlichen mit dem Primitiven“ in seinem „reifen Denken“ zurückweist, obwohl sein „Einfluss auf seine Zeitgenossen wahrscheinlich hauptsächlich in der Richtung einer Rückkehr zur Natur.“227 Strauss hingegen akzeptiert zwar, dass Rousseau eine Rückkehr zur Natur für unmöglich hielt, besteht jedoch darauf, dass dieser Drang ein zentraler Bestandteil seiner Analyse bleibt und dass für ihn „das gute Leben besteht in der nächsten Annäherung an den Naturzustand, die auf der Ebene der Menschheit möglich ist.“228 Solche Interpretationen beziehen sich auf die Gesellschaft als solche, die Schmähreden gegen die korrumpierte Gesellschaft, und verfehlen vollständig den starken positiven Wert, den Rousseau der politischen Gesellschaft in Du Contrat Social beimisst . Rousseau selbst spricht davon, dass der Vertrag das Individuum von einem beschränkten und dummen Tier zu einem intelligenten Menschen gemacht hat;229 es würde ihn noch paradoxer machen, als er gewöhnlich angenommen wird, wenn wir ihn so interpretieren würden, dass er die Essenz ist der Menschheit, einem Zustand, der vormenschlich ist, so nahe wie möglich zu kommen.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21"/>
        <w:keepNext w:val="false"/>
        <w:keepLines w:val="false"/>
        <w:widowControl w:val="false"/>
        <w:numPr>
          <w:ilvl w:val="0"/>
          <w:numId w:val="23"/>
        </w:numPr>
        <w:shd w:val="clear" w:color="auto" w:fill="auto"/>
        <w:tabs>
          <w:tab w:val="clear" w:pos="720"/>
          <w:tab w:val="left" w:pos="639" w:leader="none"/>
        </w:tabs>
        <w:bidi w:val="0"/>
        <w:spacing w:lineRule="auto" w:line="189" w:before="0" w:after="0"/>
        <w:ind w:left="0" w:right="0" w:firstLine="240"/>
        <w:jc w:val="both"/>
        <w:rPr/>
      </w:pPr>
      <w:r>
        <w:rPr>
          <w:color w:val="000000"/>
          <w:spacing w:val="0"/>
          <w:w w:val="100"/>
          <w:shd w:fill="auto" w:val="clear"/>
          <w:lang w:val="en-US" w:eastAsia="en-US" w:bidi="en-US"/>
        </w:rPr>
        <w:t>Strauss, Naturrecht und Geschichte, S. 270.</w:t>
      </w:r>
    </w:p>
    <w:p>
      <w:pPr>
        <w:pStyle w:val="Flietext21"/>
        <w:keepNext w:val="false"/>
        <w:keepLines w:val="false"/>
        <w:widowControl w:val="false"/>
        <w:shd w:val="clear" w:color="auto" w:fill="auto"/>
        <w:bidi w:val="0"/>
        <w:spacing w:lineRule="auto" w:line="189" w:before="0" w:after="0"/>
        <w:ind w:left="0" w:right="0" w:firstLine="240"/>
        <w:jc w:val="left"/>
        <w:rPr/>
      </w:pPr>
      <w:r>
        <w:rPr>
          <w:color w:val="000000"/>
          <w:spacing w:val="0"/>
          <w:w w:val="100"/>
          <w:shd w:fill="auto" w:val="clear"/>
          <w:lang w:val="en-US" w:eastAsia="en-US" w:bidi="en-US"/>
        </w:rPr>
        <w:t>225 Ebd.</w:t>
      </w:r>
    </w:p>
    <w:p>
      <w:pPr>
        <w:pStyle w:val="Flietext21"/>
        <w:keepNext w:val="false"/>
        <w:keepLines w:val="false"/>
        <w:widowControl w:val="false"/>
        <w:numPr>
          <w:ilvl w:val="0"/>
          <w:numId w:val="24"/>
        </w:numPr>
        <w:shd w:val="clear" w:color="auto" w:fill="auto"/>
        <w:tabs>
          <w:tab w:val="clear" w:pos="720"/>
          <w:tab w:val="left" w:pos="620" w:leader="none"/>
        </w:tabs>
        <w:bidi w:val="0"/>
        <w:spacing w:lineRule="auto" w:line="213" w:before="0" w:after="0"/>
        <w:ind w:left="0" w:right="0" w:firstLine="260"/>
        <w:jc w:val="both"/>
        <w:rPr/>
      </w:pPr>
      <w:r>
        <w:rPr>
          <w:color w:val="000000"/>
          <w:spacing w:val="0"/>
          <w:w w:val="100"/>
          <w:shd w:fill="auto" w:val="clear"/>
          <w:lang w:val="en-US" w:eastAsia="en-US" w:bidi="en-US"/>
        </w:rPr>
        <w:t>Kr. z.B. Michael Levin, „Uses of the Social Contract Method: Vaughan's Interpretation of Rousseau“, in The Journal of the History of Ideas, Vol. 3, No. 28 (1967), S. 521-36.</w:t>
      </w:r>
    </w:p>
    <w:p>
      <w:pPr>
        <w:pStyle w:val="Flietext21"/>
        <w:keepNext w:val="false"/>
        <w:keepLines w:val="false"/>
        <w:widowControl w:val="false"/>
        <w:numPr>
          <w:ilvl w:val="0"/>
          <w:numId w:val="24"/>
        </w:numPr>
        <w:shd w:val="clear" w:color="auto" w:fill="auto"/>
        <w:tabs>
          <w:tab w:val="clear" w:pos="720"/>
          <w:tab w:val="left" w:pos="659" w:leader="none"/>
        </w:tabs>
        <w:bidi w:val="0"/>
        <w:spacing w:lineRule="auto" w:line="189" w:before="0" w:after="200"/>
        <w:ind w:left="0" w:right="0" w:firstLine="260"/>
        <w:jc w:val="both"/>
        <w:rPr/>
      </w:pPr>
      <w:r>
        <w:rPr>
          <w:color w:val="000000"/>
          <w:spacing w:val="0"/>
          <w:w w:val="100"/>
          <w:shd w:fill="auto" w:val="clear"/>
          <w:lang w:val="en-US" w:eastAsia="en-US" w:bidi="en-US"/>
        </w:rPr>
        <w:t>J. D. Mabbott, The State and the Citizen (London: Hutchinson &amp; Co., 1967), p. 27.</w:t>
      </w:r>
    </w:p>
    <w:p>
      <w:pPr>
        <w:pStyle w:val="Flietext1"/>
        <w:keepNext w:val="false"/>
        <w:keepLines w:val="false"/>
        <w:widowControl w:val="false"/>
        <w:shd w:val="clear" w:color="auto" w:fill="auto"/>
        <w:bidi w:val="0"/>
        <w:spacing w:before="0" w:after="260"/>
        <w:ind w:left="0" w:right="0" w:firstLine="260"/>
        <w:jc w:val="both"/>
        <w:rPr/>
      </w:pPr>
      <w:r>
        <w:rPr>
          <w:color w:val="000000"/>
          <w:spacing w:val="0"/>
          <w:w w:val="100"/>
          <w:shd w:fill="auto" w:val="clear"/>
          <w:lang w:val="en-US" w:eastAsia="en-US" w:bidi="en-US"/>
        </w:rPr>
        <w:t>Die späteren Stadien des Naturzustands scheinen sich erheblich von diesen früheren Bedingungen zu unterscheiden, da es jetzt eine umfassendere Zusammenarbeit zu geben scheint, die größtenteils durch Naturkatastrophen und wachsende Bevölkerung verursacht wird (so dass die Gaben der Natur ohne verstärkte Zusammenarbeit und Organisation nicht mehr nachgeben ). Dies ist die Voraussetzung für den Übergang vom vorpolitischen zum bürgerlichen Staat, und es ist wichtig, dass diese Zusammenarbeit für den Menschen nicht natürlich ist (d. h. nicht Teil seiner Natur), sondern zufällig; seine Notwendigkeit ergibt sich nicht aus der Natur des Menschen, sondern aus zufälligen Ereignissen innerhalb einer größeren physischen Umgebung. Strauss betont die Wichtigkeit dessen – indem er die soziale Natur des Menschen leugnet, macht Rousseau die Gesellschaft „im Wesentlichen auf den Willen der Individuen gegründet“230 –, aber er lässt die andere Hälfte der Implikationen aus, selbst wenn es nicht die Notwendigkeit des Menschen ist Natur, die den Menschen zu Kooperation und Gesellschaft zwingt, und dennoch ist es eher die Notwendigkeit als die Neigung, die die motivierende Kraft ist. Der Mensch entscheidet sich nicht zu kooperieren; Er ist dazu gezwungen, um zu überleben. In der Vormoderne wurde die Unnatürlichkeit dieser Zusammenarbeit durch die Betonung des Zwangs herausgestellt (man denke an Martin Luthers wiederkehrendes Symbol des Henkers); in der frühen Neuzeit wurde es durch die Vertragsmetapher herausgearbeitet.</w:t>
      </w:r>
    </w:p>
    <w:p>
      <w:pPr>
        <w:pStyle w:val="Flietext21"/>
        <w:keepNext w:val="false"/>
        <w:keepLines w:val="false"/>
        <w:widowControl w:val="false"/>
        <w:numPr>
          <w:ilvl w:val="0"/>
          <w:numId w:val="24"/>
        </w:numPr>
        <w:shd w:val="clear" w:color="auto" w:fill="auto"/>
        <w:tabs>
          <w:tab w:val="clear" w:pos="720"/>
          <w:tab w:val="left" w:pos="659" w:leader="none"/>
        </w:tabs>
        <w:bidi w:val="0"/>
        <w:spacing w:lineRule="auto" w:line="189" w:before="0" w:after="0"/>
        <w:ind w:left="0" w:right="0" w:firstLine="260"/>
        <w:jc w:val="left"/>
        <w:rPr/>
      </w:pPr>
      <w:r>
        <w:rPr>
          <w:color w:val="000000"/>
          <w:spacing w:val="0"/>
          <w:w w:val="100"/>
          <w:shd w:fill="auto" w:val="clear"/>
          <w:lang w:val="en-US" w:eastAsia="en-US" w:bidi="en-US"/>
        </w:rPr>
        <w:t>Strauss, Naturrecht und Geschichte, S. 282.</w:t>
      </w:r>
    </w:p>
    <w:p>
      <w:pPr>
        <w:pStyle w:val="Flietext21"/>
        <w:keepNext w:val="false"/>
        <w:keepLines w:val="false"/>
        <w:widowControl w:val="false"/>
        <w:numPr>
          <w:ilvl w:val="0"/>
          <w:numId w:val="24"/>
        </w:numPr>
        <w:shd w:val="clear" w:color="auto" w:fill="auto"/>
        <w:tabs>
          <w:tab w:val="clear" w:pos="720"/>
          <w:tab w:val="left" w:pos="625" w:leader="none"/>
        </w:tabs>
        <w:bidi w:val="0"/>
        <w:spacing w:lineRule="auto" w:line="213" w:before="0" w:after="0"/>
        <w:ind w:left="0" w:right="0" w:firstLine="280"/>
        <w:jc w:val="both"/>
        <w:rPr/>
      </w:pPr>
      <w:r>
        <w:rPr>
          <w:color w:val="000000"/>
          <w:spacing w:val="0"/>
          <w:w w:val="100"/>
          <w:shd w:fill="auto" w:val="clear"/>
          <w:lang w:val="en-US" w:eastAsia="en-US" w:bidi="en-US"/>
        </w:rPr>
        <w:t>Rousseau, Du Contrat Social, Bk, I, Kap. VII, p. 247. Alle Seitenzahlen stammen von J-J. Rousseau, Du Contrat Social (und andere politische Schriften), (Paris: Editions Garnier Freres, 1962).</w:t>
      </w:r>
    </w:p>
    <w:p>
      <w:pPr>
        <w:pStyle w:val="Flietext21"/>
        <w:keepNext w:val="false"/>
        <w:keepLines w:val="false"/>
        <w:widowControl w:val="false"/>
        <w:numPr>
          <w:ilvl w:val="0"/>
          <w:numId w:val="24"/>
        </w:numPr>
        <w:shd w:val="clear" w:color="auto" w:fill="auto"/>
        <w:tabs>
          <w:tab w:val="clear" w:pos="720"/>
          <w:tab w:val="left" w:pos="625" w:leader="none"/>
        </w:tabs>
        <w:bidi w:val="0"/>
        <w:spacing w:lineRule="auto" w:line="213" w:before="0" w:after="200"/>
        <w:ind w:left="0" w:right="0" w:firstLine="280"/>
        <w:jc w:val="both"/>
        <w:rPr/>
      </w:pPr>
      <w:r>
        <w:rPr>
          <w:color w:val="000000"/>
          <w:spacing w:val="0"/>
          <w:w w:val="100"/>
          <w:shd w:fill="auto" w:val="clear"/>
          <w:lang w:val="en-US" w:eastAsia="en-US" w:bidi="en-US"/>
        </w:rPr>
        <w:t>Ebd., p. 277. Ein ähnlicher Punkt wird in Maritain, Three Reformers—Luther—Descartes—Rousseau (London: Sheed &amp; Ward, 1941), p. 128.</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Aber der Bericht muss nicht als Geschichte betrachtet werden, um kohärent zu sein. Rousseau geht es darum, den „natürlichen“ Menschen zu entdecken, womit er nicht einfach den frühesten Menschen meint, sondern eher den „minimalen“ Menschen oder „wesentlichen“ Menschen.231 Er unterscheidet immer zwischen dem Menschen als solchem ​​und tatsächlich existierenden Menschen.232 Seine Argumentation scheint zu gelten so: Wir wissen, dass zumindest ein Teil von dem, was wir sind, nicht unser wahres oder wesentliches Wir ist, sondern das Produkt oder Artefakt der Gesellschaft, in der wir uns befinden. Unsere Wünsche, unser Appetit, sind teilweise unsere und teilweise die der Gesellschaft, die in uns introjiziert wird. Das Problem besteht darin, zwischen diesen beiden Kategorien unterscheiden zu können, herauszufinden, wie wir wirklich sind, im Gegensatz zu dem, wie wir in der Gesellschaft sind, zu entdecken, dass der Verlust uns nicht mehr zu Menschen machen würde, sondern sich nur verändern würde uns in eine andere Art von Menschen. Rousseau glaubt, dies in zwei Attributen gefunden zu haben, nämlich: 1) amour de soi (d. h. der Teil der Selbstliebe, der auf Selbsterhaltung gerichtet ist, im Gegensatz zu amour-propre, dem Teil der Selbstliebe, der Stolz und Führung beinhaltet zum Hobbes'schen Krieg aller gegen alle); und 2) Mitleid, eine natürliche Sympathie für unsere Mitgeschöpfe.</w:t>
      </w:r>
    </w:p>
    <w:p>
      <w:pPr>
        <w:pStyle w:val="Flietext1"/>
        <w:keepNext w:val="false"/>
        <w:keepLines w:val="false"/>
        <w:widowControl w:val="false"/>
        <w:shd w:val="clear" w:color="auto" w:fill="auto"/>
        <w:bidi w:val="0"/>
        <w:spacing w:before="0" w:after="260"/>
        <w:ind w:left="0" w:right="0" w:firstLine="280"/>
        <w:jc w:val="both"/>
        <w:rPr/>
      </w:pPr>
      <w:r>
        <w:rPr>
          <w:color w:val="000000"/>
          <w:spacing w:val="0"/>
          <w:w w:val="100"/>
          <w:shd w:fill="auto" w:val="clear"/>
          <w:lang w:val="en-US" w:eastAsia="en-US" w:bidi="en-US"/>
        </w:rPr>
        <w:t>Das meinte er mit dem natürlichen Menschen. Es ist natürlich durchaus möglich, dass der primitive vorzivilisierte Mensch diesem Ideal ziemlich nahe kam (zumindest mehr als der zivilisierte, korrumpierte zeitgenössische Mensch), und in diesem sehr begrenzten Sinne hat Rousseau eine gewisse oberflächliche Ähnlichkeit mit dem Kult der Noble Savage, mit welcher Gruppe er oft frei assoziiert wird,233 aber das ist ganz neben dem Zweck und der Absicht des Geräts. In einer sehr aufschlussreichen Passage räumt er ein, dass es den natürlichen Menschen möglicherweise nie gegeben hat,234 sagt dies aber so, dass er nicht das Gefühl hat, dass seine Argumentation auf dieser historischen Frage steht oder fällt, und dass er sich keine großen Sorgen macht darüber.</w:t>
      </w:r>
    </w:p>
    <w:p>
      <w:pPr>
        <w:pStyle w:val="Flietext21"/>
        <w:keepNext w:val="false"/>
        <w:keepLines w:val="false"/>
        <w:widowControl w:val="false"/>
        <w:numPr>
          <w:ilvl w:val="0"/>
          <w:numId w:val="24"/>
        </w:numPr>
        <w:shd w:val="clear" w:color="auto" w:fill="auto"/>
        <w:tabs>
          <w:tab w:val="clear" w:pos="720"/>
          <w:tab w:val="left" w:pos="625" w:leader="none"/>
        </w:tabs>
        <w:bidi w:val="0"/>
        <w:spacing w:before="0" w:after="0"/>
        <w:ind w:left="0" w:right="0" w:firstLine="280"/>
        <w:jc w:val="both"/>
        <w:rPr/>
      </w:pPr>
      <w:r>
        <w:rPr>
          <w:color w:val="000000"/>
          <w:spacing w:val="0"/>
          <w:w w:val="100"/>
          <w:shd w:fill="auto" w:val="clear"/>
          <w:lang w:val="en-US" w:eastAsia="en-US" w:bidi="en-US"/>
        </w:rPr>
        <w:t>JH Broome, Rousseau: A Study of His Thought (London: Edward Arnold Ltd., 1963), p. 35; und Ronald Grimsley, „Rousseau and the Problem of Happiness“, in Cranston und Peters (Hrsg.), Hobbes und Rousseau, S. 438.</w:t>
      </w:r>
    </w:p>
    <w:p>
      <w:pPr>
        <w:pStyle w:val="Flietext21"/>
        <w:keepNext w:val="false"/>
        <w:keepLines w:val="false"/>
        <w:widowControl w:val="false"/>
        <w:numPr>
          <w:ilvl w:val="0"/>
          <w:numId w:val="24"/>
        </w:numPr>
        <w:shd w:val="clear" w:color="auto" w:fill="auto"/>
        <w:tabs>
          <w:tab w:val="clear" w:pos="720"/>
          <w:tab w:val="left" w:pos="625" w:leader="none"/>
        </w:tabs>
        <w:bidi w:val="0"/>
        <w:spacing w:lineRule="auto" w:line="213" w:before="0" w:after="200"/>
        <w:ind w:left="0" w:right="0" w:firstLine="280"/>
        <w:jc w:val="both"/>
        <w:rPr/>
      </w:pPr>
      <w:r>
        <w:rPr>
          <w:color w:val="000000"/>
          <w:spacing w:val="0"/>
          <w:w w:val="100"/>
          <w:shd w:fill="auto" w:val="clear"/>
          <w:lang w:val="en-US" w:eastAsia="en-US" w:bidi="en-US"/>
        </w:rPr>
        <w:t>Siehe z.B. William Pickles, „Der Begriff der Zeit in Rousseaus politischem Denken“, in Cranston &amp; Peters (Hrsg.), Hobbes und Rousseau, p. 382.</w:t>
      </w:r>
    </w:p>
    <w:p>
      <w:pPr>
        <w:pStyle w:val="Flietext1"/>
        <w:keepNext w:val="false"/>
        <w:keepLines w:val="false"/>
        <w:widowControl w:val="false"/>
        <w:shd w:val="clear" w:color="auto" w:fill="auto"/>
        <w:bidi w:val="0"/>
        <w:spacing w:before="0" w:after="260"/>
        <w:ind w:left="0" w:right="0" w:firstLine="280"/>
        <w:jc w:val="both"/>
        <w:rPr/>
      </w:pPr>
      <w:r>
        <w:rPr>
          <w:color w:val="000000"/>
          <w:spacing w:val="0"/>
          <w:w w:val="100"/>
          <w:shd w:fill="auto" w:val="clear"/>
          <w:lang w:val="en-US" w:eastAsia="en-US" w:bidi="en-US"/>
        </w:rPr>
        <w:t>Um dieses Konzept des „natürlichen“ Menschen völlig rein zu halten und die verunreinigenden Einflüsse jeglicher Sozialisations- oder Interaktionsprozesse zu vermeiden, wird der „natürliche“ Zustand dieses „natürlichen“ Menschen als ein Zustand relativ müheloser Hinlänglichkeit beschrieben. Es gibt weder den Kampf ums Überleben, der ein gewisses Maß an unvermeidlicher Konkurrenz zwischen Männern beinhalten könnte, noch ein anspruchsvolles Umfeld, das ein gewisses Maß an fortgesetzter Zusammenarbeit erfordern könnte, im Gegensatz zu der flüchtigen Zusammenarbeit, die entweder durch Mitleid oder durch den Wunsch nach Reproduktion motiviert ist. Beide Formen der fortwährenden Interaktion liefern uns den „wesentlichen Menschen plus etwas“, nicht den „Menschen als solchen“, und sobald das Modell uns „den Menschen plus etwas“ liefert, können wir nicht auf den Menschen selbst, sondern nur auf eine bestimmte Art von Menschen schließen Der Mensch als Produkt einer bestimmten Gesellschaftsform. Es ist natürlich gerade Rousseaus Einwand gegen Hobbes, dass er vom „Mensch plus etwas“ ausgegangen sei235, sein sogenannter natürlicher Mensch sei ein natürlicher Mensch à la Rousseau, bei dem sich amour de soi durch Interaktion in amour verwandelt habe. richtig; Als Erweiterung können wir vorschlagen, dass Lockes kooperierende Personen auch von Rousseau als „Mensch plus etwas“ abgelehnt würden, wenn auch ein anderes Etwas. Rousseaus Ziel ist der „Mensch als solcher“, der grundlegende Mensch, der durch diese Interaktion modifiziert wird. Der Name dieses hypothetischen „natürlichen“ Zustands des „natürlichen“ Menschen ist „natürliche Freiheit“; der so konstituierte Mensch, befreit von jeglichen verzerrenden Effekten menschlicher Interaktion oder künstlicher Konvention, „ne veut que ce qu41 peut, et fait ce qu'il luiplait.“238 Dieser Zustand steht im Gegensatz zu zeitgenössischen Gesellschaften und dem zeitgenössischen Menschen, wie er geformt ist und von diesen Gesellschaften modifiziert, und der Vergleich ist als Anklage gedacht. Das bedeutet keineswegs, dass der Mensch sich entschieden hat, diese natürliche Freiheit aufzugeben, auch wenn Rousseau es manchmal zu suggerieren scheint; vielmehr wird nach der vorgeschlagenen pseudohistorischen Darstellung die so beschriebene natürliche Freiheit zerstört, anscheinend durch Zufall oder physische Notwendigkeit. In einer Schlüsselpassage von Du Contrat Social bezieht sich Rousseau nicht auf den glücklichen Moment, in dem der Mensch sich entschied, mittels des Vertrags seine natürliche Freiheit für die bürgerliche Freiheit aufzugeben; vielmehr spricht er von „l'instant heureux qui en arracha pour jamais“237, wobei das Element der freien Wahl nur durch seine Abwesenheit auffällt. Die Bedingungen ändern sich, um den Menschen aus seinem Zustand der mühelosen Genügsamkeit zu entfernen und ein gewisses Maß an Kooperation zu erzwingen, eine Kooperation, die nicht nur im „früheren“ Zustand nicht notwendig war, sondern auch nicht vorhanden sein konnte, ohne das wesentliche Merkmal der „natürlichen“ Freiheit zu zerstören im „natürlichen“ Zustand – die Tatsache, dass der „natürliche“ Mensch als sein wesentliches, nicht reduzierbares Selbst ohne zufällige Anhäufungen erkannt werden kann, weil er von den Auswirkungen anhaltender Interaktion isoliert ist. Der Gesellschaftsvertrag ist keine Vereinbarung, durch die der Mensch seine natürliche Freiheit und Hinlänglichkeit zur Interaktion aufgibt, sondern eine Vereinbarung zur Regelung der Interaktion, die bereits zu einem Merkmal der menschlichen Existenz geworden ist; Mit anderen Worten, es ist nicht so, dass die Gesellschaft die natürliche Freiheit zerstört, sondern dass die zufällige Zerstörung der natürlichen Freiheit der Zusammenarbeit vorausgeht und diese erfordert, die der erste Schritt zur Gesellschaft ist. Während er mit seiner unerbittlichen Logik den Wechsel von amour de soi zu amour propre untersucht, deckt John Charvet in ähnlicher Weise diese Lücke zwischen der wesentlichen Bedingung des natürlichen Zustands (ein Mangel an Interaktion) und den Bedingungen auf, die zur Gesellschaft führen (ein zunehmendes Bedürfnis nach umfangreiche Interaktion), und er besteht darauf, dass dies Rousseaus Darstellung grundsätzlich und unwiderruflich inkohärent macht. 238 (Charvet verwendet dies als Teil eines anhaltenden Angriffs auf den Gesellschaftsvertrag als philosophische Position239, um die wesentliche Inkohärenz von Rousseau und allgemeiner den philosophischen Bankrott des Gesellschaftsvertrags zu demonstrieren; ich würde stattdessen vorschlagen, dass es den im Wesentlichen ahistorischen Zweck anzeigt Rousseaus und damit der philosophische Bankrott jener „Widerlegungen“ Rousseaus, die nur dadurch erfolgen können, dass Rousseau ein gewissermaßen historischer Vertrag unterstellt wird Männer geben ihre Freiheit im Gesellschaftsvertrag nicht auf, aber das ist vorwegzunehmen.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21"/>
        <w:keepNext w:val="false"/>
        <w:keepLines w:val="false"/>
        <w:widowControl w:val="false"/>
        <w:numPr>
          <w:ilvl w:val="0"/>
          <w:numId w:val="24"/>
        </w:numPr>
        <w:shd w:val="clear" w:color="auto" w:fill="auto"/>
        <w:tabs>
          <w:tab w:val="clear" w:pos="720"/>
          <w:tab w:val="left" w:pos="639" w:leader="none"/>
        </w:tabs>
        <w:bidi w:val="0"/>
        <w:spacing w:lineRule="auto" w:line="240" w:before="0" w:after="0"/>
        <w:ind w:left="0" w:right="0" w:firstLine="240"/>
        <w:jc w:val="left"/>
        <w:rPr/>
      </w:pPr>
      <w:r>
        <w:rPr>
          <w:i/>
          <w:iCs/>
          <w:color w:val="000000"/>
          <w:spacing w:val="0"/>
          <w:w w:val="100"/>
          <w:shd w:fill="auto" w:val="clear"/>
          <w:lang w:val="en-US" w:eastAsia="en-US" w:bidi="en-US"/>
        </w:rPr>
        <w:t>B. von Robert Ardrey, The Social Contract.</w:t>
      </w:r>
    </w:p>
    <w:p>
      <w:pPr>
        <w:pStyle w:val="Flietext21"/>
        <w:keepNext w:val="false"/>
        <w:keepLines w:val="false"/>
        <w:widowControl w:val="false"/>
        <w:numPr>
          <w:ilvl w:val="0"/>
          <w:numId w:val="24"/>
        </w:numPr>
        <w:shd w:val="clear" w:color="auto" w:fill="auto"/>
        <w:tabs>
          <w:tab w:val="clear" w:pos="720"/>
          <w:tab w:val="left" w:pos="659" w:leader="none"/>
        </w:tabs>
        <w:bidi w:val="0"/>
        <w:spacing w:lineRule="auto" w:line="189" w:before="0" w:after="0"/>
        <w:ind w:left="0" w:right="0" w:firstLine="260"/>
        <w:jc w:val="both"/>
        <w:rPr/>
      </w:pPr>
      <w:r>
        <w:rPr>
          <w:color w:val="000000"/>
          <w:spacing w:val="0"/>
          <w:w w:val="100"/>
          <w:shd w:fill="auto" w:val="clear"/>
          <w:lang w:val="en-US" w:eastAsia="en-US" w:bidi="en-US"/>
        </w:rPr>
        <w:t>Rousseau, Zweite Rede, S. 35.</w:t>
      </w:r>
    </w:p>
    <w:p>
      <w:pPr>
        <w:pStyle w:val="Flietext21"/>
        <w:keepNext w:val="false"/>
        <w:keepLines w:val="false"/>
        <w:widowControl w:val="false"/>
        <w:numPr>
          <w:ilvl w:val="0"/>
          <w:numId w:val="24"/>
        </w:numPr>
        <w:shd w:val="clear" w:color="auto" w:fill="auto"/>
        <w:tabs>
          <w:tab w:val="clear" w:pos="720"/>
          <w:tab w:val="left" w:pos="634" w:leader="none"/>
        </w:tabs>
        <w:bidi w:val="0"/>
        <w:spacing w:lineRule="auto" w:line="216" w:before="0" w:after="0"/>
        <w:ind w:left="0" w:right="0" w:firstLine="260"/>
        <w:jc w:val="both"/>
        <w:rPr/>
      </w:pPr>
      <w:r>
        <w:rPr>
          <w:color w:val="000000"/>
          <w:spacing w:val="0"/>
          <w:w w:val="100"/>
          <w:shd w:fill="auto" w:val="clear"/>
          <w:lang w:val="de-DE" w:eastAsia="de-DE" w:bidi="de-DE"/>
        </w:rPr>
        <w:t>Vgl. Robert Derathe, Jean-Jacques Rousseau and the Political Science of His Time (Paris: Presses Universitaire de France, 1950), S. 109, 133.</w:t>
      </w:r>
    </w:p>
    <w:p>
      <w:pPr>
        <w:pStyle w:val="Flietext21"/>
        <w:keepNext w:val="false"/>
        <w:keepLines w:val="false"/>
        <w:widowControl w:val="false"/>
        <w:numPr>
          <w:ilvl w:val="0"/>
          <w:numId w:val="24"/>
        </w:numPr>
        <w:shd w:val="clear" w:color="auto" w:fill="auto"/>
        <w:tabs>
          <w:tab w:val="clear" w:pos="720"/>
          <w:tab w:val="left" w:pos="634" w:leader="none"/>
        </w:tabs>
        <w:bidi w:val="0"/>
        <w:spacing w:lineRule="auto" w:line="213" w:before="0" w:after="0"/>
        <w:ind w:left="0" w:right="0" w:firstLine="260"/>
        <w:jc w:val="both"/>
        <w:rPr/>
      </w:pPr>
      <w:r>
        <w:rPr>
          <w:color w:val="000000"/>
          <w:spacing w:val="0"/>
          <w:w w:val="100"/>
          <w:shd w:fill="auto" w:val="clear"/>
          <w:lang w:val="de-DE" w:eastAsia="de-DE" w:bidi="de-DE"/>
        </w:rPr>
        <w:t>Von Emil; zitiert in Plamenatz, „On le Forcera d'Etre Libre“, in Cranston &amp; Peters (Hrsg.), Hobbes und Rousseau, p. 326.</w:t>
      </w:r>
    </w:p>
    <w:p>
      <w:pPr>
        <w:pStyle w:val="Flietext21"/>
        <w:keepNext w:val="false"/>
        <w:keepLines w:val="false"/>
        <w:widowControl w:val="false"/>
        <w:numPr>
          <w:ilvl w:val="0"/>
          <w:numId w:val="24"/>
        </w:numPr>
        <w:shd w:val="clear" w:color="auto" w:fill="auto"/>
        <w:tabs>
          <w:tab w:val="clear" w:pos="720"/>
          <w:tab w:val="left" w:pos="659" w:leader="none"/>
        </w:tabs>
        <w:bidi w:val="0"/>
        <w:spacing w:lineRule="auto" w:line="189" w:before="0" w:after="200"/>
        <w:ind w:left="0" w:right="0" w:firstLine="260"/>
        <w:jc w:val="both"/>
        <w:rPr/>
      </w:pPr>
      <w:r>
        <w:rPr>
          <w:color w:val="000000"/>
          <w:spacing w:val="0"/>
          <w:w w:val="100"/>
          <w:shd w:fill="auto" w:val="clear"/>
          <w:lang w:val="de-DE" w:eastAsia="de-DE" w:bidi="de-DE"/>
        </w:rPr>
        <w:t>Rousseau, Aus dem Gesellschaftsvertrag, Bk. I, Ch. VIII, p. 247.</w:t>
      </w:r>
    </w:p>
    <w:p>
      <w:pPr>
        <w:pStyle w:val="Flietext1"/>
        <w:keepNext w:val="false"/>
        <w:keepLines w:val="false"/>
        <w:widowControl w:val="false"/>
        <w:shd w:val="clear" w:color="auto" w:fill="auto"/>
        <w:bidi w:val="0"/>
        <w:spacing w:before="0" w:after="280"/>
        <w:ind w:left="0" w:right="0" w:firstLine="260"/>
        <w:jc w:val="both"/>
        <w:rPr/>
      </w:pPr>
      <w:r>
        <w:rPr>
          <w:color w:val="000000"/>
          <w:spacing w:val="0"/>
          <w:w w:val="100"/>
          <w:shd w:fill="auto" w:val="clear"/>
          <w:lang w:val="de-DE" w:eastAsia="de-DE" w:bidi="de-DE"/>
        </w:rPr>
        <w:t>Was klar und wichtig ist, ist, dass es Rousseaus Absicht völlig missversteht, die Sequenz als historische Theorie wörtlich zu nehmen, und dies aus Gründen, die viel zwingender sind als die mögliche Inkohärenz, die Charvet andeuten möchte. Hobbes, Locke und Rousseau werden unter der Überschrift der politischen Philosophie studiert, nicht der Anthropologie, und es ist sowohl grotesk als auch verschwenderisch, wenn politische Philosophen sie so diskutieren, als wären sie nur Anthropologen. Die einzigen zwei wichtigen Stadien in der „Sequenz“, die Rousseau diskutiert, sind die Anfangsstufe – der „natürliche“ Mensch – und die Endstufe – der Mensch in der heutigen Gesellschaft. Der „natürliche“ Mensch ist das Minimum, ohne das ein Wesen kein Mensch wäre; Daher ist es für Rousseau ein Glaubensartikel, dass er nicht zerstört werden kann (selbst in einer korrupten Gesellschaft fand Rousseau den natürlichen Menschen durch Selbstbeobachtung), aber er kann hinzugefügt werden – das heißt, ihm können durch Interaktion neue Appetite und Wünsche gegeben werden. Der ganze Zweck des Geräts besteht darin, die Realität des natürlichen Menschen als zeitlose Abstraktion hervorzuheben; deshalb müssen wir Wrights Vorschlag240 zurückweisen, dass der „natürliche“ Mensch zu verschiedenen historischen Zeiten verschiedene Dinge ist, die immer die Summe der guten Dinge enthalten, die ihm in der Zeit vorausgegangen sind, was eine inkrementelle Destillation von allem darstellt, was im Menschen und in der Geschichte gut ist. Damit soll bei Rousseau ein Optimismus und Gradualismus gelesen werden, der damals zwar populär gewesen sein mag, in seinen Schriften aber keinen Widerhall fand.</w:t>
      </w:r>
    </w:p>
    <w:p>
      <w:pPr>
        <w:pStyle w:val="Flietext21"/>
        <w:keepNext w:val="false"/>
        <w:keepLines w:val="false"/>
        <w:widowControl w:val="false"/>
        <w:numPr>
          <w:ilvl w:val="0"/>
          <w:numId w:val="24"/>
        </w:numPr>
        <w:shd w:val="clear" w:color="auto" w:fill="auto"/>
        <w:tabs>
          <w:tab w:val="clear" w:pos="720"/>
          <w:tab w:val="left" w:pos="625" w:leader="none"/>
        </w:tabs>
        <w:bidi w:val="0"/>
        <w:spacing w:lineRule="auto" w:line="213" w:before="0" w:after="0"/>
        <w:ind w:left="0" w:right="0" w:firstLine="260"/>
        <w:jc w:val="both"/>
        <w:rPr/>
      </w:pPr>
      <w:r>
        <w:rPr>
          <w:color w:val="000000"/>
          <w:spacing w:val="0"/>
          <w:w w:val="100"/>
          <w:shd w:fill="auto" w:val="clear"/>
          <w:lang w:val="de-DE" w:eastAsia="de-DE" w:bidi="de-DE"/>
        </w:rPr>
        <w:t>John Charvet, „Individuelle Identität und soziales Bewusstsein in Rousseaus Philosophie“, in Cranston &amp; Peters (Hrsg.), Hobbes und Rousseau; passim.</w:t>
      </w:r>
    </w:p>
    <w:p>
      <w:pPr>
        <w:pStyle w:val="Flietext21"/>
        <w:keepNext w:val="false"/>
        <w:keepLines w:val="false"/>
        <w:widowControl w:val="false"/>
        <w:numPr>
          <w:ilvl w:val="0"/>
          <w:numId w:val="24"/>
        </w:numPr>
        <w:shd w:val="clear" w:color="auto" w:fill="auto"/>
        <w:tabs>
          <w:tab w:val="clear" w:pos="720"/>
          <w:tab w:val="left" w:pos="634" w:leader="none"/>
        </w:tabs>
        <w:bidi w:val="0"/>
        <w:spacing w:lineRule="auto" w:line="220" w:before="0" w:after="0"/>
        <w:ind w:left="0" w:right="0" w:firstLine="260"/>
        <w:jc w:val="both"/>
        <w:rPr/>
      </w:pPr>
      <w:r>
        <w:rPr>
          <w:color w:val="000000"/>
          <w:spacing w:val="0"/>
          <w:w w:val="100"/>
          <w:shd w:fill="auto" w:val="clear"/>
          <w:lang w:val="de-DE" w:eastAsia="de-DE" w:bidi="de-DE"/>
        </w:rPr>
        <w:t>Siehe zum Beispiel auch John Charvet, „The Idea of ​​Equality as a Substantive Principle of Society“, in de Crespigny &amp; Wertheimer (Hrsg.), Contemporary Political Theory (London: Thomas Nelson &amp; Sons Ltd., 1970).</w:t>
      </w:r>
    </w:p>
    <w:p>
      <w:pPr>
        <w:pStyle w:val="Flietext21"/>
        <w:keepNext w:val="false"/>
        <w:keepLines w:val="false"/>
        <w:widowControl w:val="false"/>
        <w:numPr>
          <w:ilvl w:val="0"/>
          <w:numId w:val="24"/>
        </w:numPr>
        <w:shd w:val="clear" w:color="auto" w:fill="auto"/>
        <w:tabs>
          <w:tab w:val="clear" w:pos="720"/>
          <w:tab w:val="left" w:pos="659" w:leader="none"/>
        </w:tabs>
        <w:bidi w:val="0"/>
        <w:spacing w:lineRule="auto" w:line="189" w:before="0" w:after="200"/>
        <w:ind w:left="0" w:right="0" w:firstLine="260"/>
        <w:jc w:val="both"/>
        <w:rPr/>
      </w:pPr>
      <w:r>
        <w:rPr>
          <w:color w:val="000000"/>
          <w:spacing w:val="0"/>
          <w:w w:val="100"/>
          <w:shd w:fill="auto" w:val="clear"/>
          <w:lang w:val="de-DE" w:eastAsia="de-DE" w:bidi="de-DE"/>
        </w:rPr>
        <w:t>Wright, Die Bedeutung von Rousseau, S. 17.</w:t>
      </w:r>
    </w:p>
    <w:p>
      <w:pPr>
        <w:pStyle w:val="Flietext1"/>
        <w:keepNext w:val="false"/>
        <w:keepLines w:val="false"/>
        <w:widowControl w:val="false"/>
        <w:shd w:val="clear" w:color="auto" w:fill="auto"/>
        <w:bidi w:val="0"/>
        <w:spacing w:before="0" w:after="0"/>
        <w:ind w:left="0" w:right="0" w:firstLine="260"/>
        <w:jc w:val="both"/>
        <w:rPr/>
      </w:pPr>
      <w:r>
        <w:rPr>
          <w:i/>
          <w:iCs/>
          <w:color w:val="000000"/>
          <w:spacing w:val="0"/>
          <w:w w:val="100"/>
          <w:shd w:fill="auto" w:val="clear"/>
          <w:lang w:val="en-US" w:eastAsia="en-US" w:bidi="en-US"/>
        </w:rPr>
        <w:t>Weil der natürliche Mensch sowohl gut als auch glücklich ist, dient er als Kritik an der korrupten Gesellschaft, die weder Menschen noch Menschen macht, aber für Rousseau ist das implizite Programm eher Reform als Rückkehr; eine Rückkehr zum „natürlichen“ Menschen ist unmöglich. Es ist erstens unmöglich, weil der natürliche Mensch eine Abstraktion ist, von der sein Schöpfer zugibt, dass sie vielleicht nie existiert hat (und man nicht dorthin zurückkehren kann, wo man nie war), und zweitens, weil der Komplex natürlicher Mensch/natürliche Freiheit/natürliche Bedingung vor dem Menschen zerstört wurde jemals in die Gesellschaft eingetreten sind und vernichtet werden mussten, bevor der Mensch jemals den Anstoß gehabt haben könnte, in die Gesellschaft einzutreten. Die Anfangsphase der Zusammenarbeit ist nicht der Apfel in Rousseaus Eden; wenn es einen Apfel gibt, wird es nicht angezeigt, und die Zusammenarbeit, die zur Gesellschaft führt, ist entweder Teil des Fluchs oder Teil der Erlösung von diesem Fluch (je nachdem, ob Rousseau in nostalgischer oder politischer Stimmung ist), aber definitiv nicht die Ursache des Fluchs. Aber es gibt noch einen dritten Grund, warum es nicht um eine Rückkehr geht, und dieser dritte Grund ist wahrscheinlich der wichtigste für das Verständnis von Rousseaus politischer Philosophie. Das Rezept ist nicht für eine Rückkehr zum „natürlichen“ Zustand, weil der Mensch über Fähigkeiten verfügt, die über die eines Tieres hinausgehen. Es gibt bei Rousseau eine Spannung zwischen der nostalgischen Beschwörung des primitiven Zustands und dem Bewusstsein für das vielversprechende Potenzial der menschlichen Assoziation, aber es ist leicht, beides miteinander zu vergleichen, weil der „natürliche“ Zustand eine für uns verschlossene Option ist (falls es jemals existierte) nicht durch unsere eigene Wahl, sondern durch zufällige und äußere Ereignisse, die uns zur Zusammenarbeit und damit zur Gesellschaft zwangen. Die sofortige Zusammenarbeit wurde notwendig, da der Naturzustand abstrakt und unerreichbar wurde und die einzige Alternative darin besteht, eine gute Gesellschaft zu schaffen. Der Mensch in der Gesellschaft wird rational – Rousseaus antirationalistischer Emotionalismus ist ebenso ein Mythos wie seine angesehene Mitgliedschaft im Kult des edlen Wilden – und tauscht seine natürliche Güte gegen ein Potenzial wahrer Tugend ein. 241 Beim Gesellschaftsvertrag geht es nicht darum, aus einem schlechten Geschäft das Beste zu machen; es ist „l'instant Glücklich"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1"/>
        <w:keepNext w:val="false"/>
        <w:keepLines w:val="false"/>
        <w:widowControl w:val="false"/>
        <w:shd w:val="clear" w:color="auto" w:fill="auto"/>
        <w:bidi w:val="0"/>
        <w:spacing w:before="0" w:after="280"/>
        <w:ind w:left="0" w:right="0" w:firstLine="320"/>
        <w:jc w:val="both"/>
        <w:rPr/>
      </w:pPr>
      <w:r>
        <w:rPr>
          <w:color w:val="000000"/>
          <w:spacing w:val="0"/>
          <w:w w:val="100"/>
          <w:shd w:fill="auto" w:val="clear"/>
          <w:lang w:val="en-US" w:eastAsia="en-US" w:bidi="en-US"/>
        </w:rPr>
        <w:t>Selbst unter Berücksichtigung des Vorstehenden bleibt das von Rousseau verwendete Sozialvertragsinstrument rätselhaft und inkohärent, es sei denn, es wird eine weitere Klarstellung vorgenommen. Im Grunde gibt es nicht einen Gesellschaftsvertrag, sondern zwei radikal unterschiedliche. Der erste ist der betrügerische Vertrag, der von den Reichen angestiftet wird, die ihren Eigentumsgenuss in ein Eigentumsrecht umwandeln wollen, der aber dennoch die Armen bindet. (Es wird manchmal behauptet242, dass Rousseau die Idee des Naturgesetzes bis zu einem gewissen Grad beibehalten hat, obwohl er sie früh in den Deuxieme Discours angegriffen hat, und insbesondere, dass er sie brauchte, um zu erklären, warum Verträge bindend sind. Aufgrund des ersten Vertrags, wie z Ein Standpunkt ist nicht ohne Plausibilität; was den zweiten Vertrag, den von Du Contrat Social betrifft, ist dies nicht der Fall, und seine Sanktion beruht auf einem Argument, das weniger fragwürdig ist als ein Naturgesetz, das Verträge bestätigt.) Wie Shklar es beschreibt:</w:t>
      </w:r>
    </w:p>
    <w:p>
      <w:pPr>
        <w:pStyle w:val="Flietext1"/>
        <w:keepNext w:val="false"/>
        <w:keepLines w:val="false"/>
        <w:widowControl w:val="false"/>
        <w:shd w:val="clear" w:color="auto" w:fill="auto"/>
        <w:bidi w:val="0"/>
        <w:spacing w:lineRule="auto" w:line="240" w:before="0" w:after="280"/>
        <w:ind w:left="240" w:right="0" w:firstLine="380"/>
        <w:jc w:val="both"/>
        <w:rPr/>
      </w:pPr>
      <w:r>
        <w:rPr>
          <w:color w:val="000000"/>
          <w:spacing w:val="0"/>
          <w:w w:val="100"/>
          <w:shd w:fill="auto" w:val="clear"/>
          <w:vertAlign w:val="superscript"/>
          <w:lang w:val="en-US" w:eastAsia="en-US" w:bidi="en-US"/>
        </w:rPr>
        <w:t>Die Armen werden dazu verleitet, einen Quasi-Vertrag zu akzeptieren, der ihnen die Reste ihrer Freiheit entzieht, und die Reichen bekommen genau das, was sie wollen, nämlich Recht und Ordnung, in denen sie ungestört von den Armen ihren Besitz genießen können. Die Schwachen werden geschwächt, die Starken gewinnen neue Kräfte.243</w:t>
      </w:r>
    </w:p>
    <w:p>
      <w:pPr>
        <w:pStyle w:val="Flietext1"/>
        <w:keepNext w:val="false"/>
        <w:keepLines w:val="false"/>
        <w:widowControl w:val="false"/>
        <w:shd w:val="clear" w:color="auto" w:fill="auto"/>
        <w:bidi w:val="0"/>
        <w:spacing w:before="0" w:after="280"/>
        <w:ind w:left="0" w:right="0" w:hanging="0"/>
        <w:jc w:val="both"/>
        <w:rPr/>
      </w:pPr>
      <w:r>
        <w:rPr>
          <w:color w:val="000000"/>
          <w:spacing w:val="0"/>
          <w:w w:val="100"/>
          <w:shd w:fill="auto" w:val="clear"/>
          <w:lang w:val="en-US" w:eastAsia="en-US" w:bidi="en-US"/>
        </w:rPr>
        <w:t>Eine solche Formulierung ergibt einen schäbigen Vertrag auf der Ebene eines Wildwest-Verkäufers von Patentmedizin, der einer leichtgläubigen Öffentlichkeit giftige Heilmittel unterjubelt und in der Nacht verblasst, bevor eine Abrechnung verlangt werden kann. Sie ergäbe eine „falsche politische Ordnung, die man viel besser als Regierungsstaat bezeichnen würde“ und „man könnte sie bequemerweise als den unauthentischen oder asozialen Vertrag bezeichnen.“244 Dies ist die Formulierung, die im Deuxieme Discours als angeblich verlogen erscheint an der Wurzel der zeitgenössischen Gesellschaft, aber Rousseau macht deutlich, dass dies dem Anspruch von Du Contrat Social nicht genügt, und er tut dies auf zweierlei Weise. Zunächst spielt er in Du Contrat Social nur kurz auf diesen Vertrag an, und das negativ, wenn er erklärt:</w:t>
      </w:r>
    </w:p>
    <w:p>
      <w:pPr>
        <w:pStyle w:val="Flietext1"/>
        <w:keepNext w:val="false"/>
        <w:keepLines w:val="false"/>
        <w:widowControl w:val="false"/>
        <w:shd w:val="clear" w:color="auto" w:fill="auto"/>
        <w:bidi w:val="0"/>
        <w:spacing w:lineRule="auto" w:line="252" w:before="0" w:after="280"/>
        <w:ind w:left="240" w:right="0" w:firstLine="380"/>
        <w:jc w:val="both"/>
        <w:rPr/>
      </w:pPr>
      <w:r>
        <w:rPr>
          <w:color w:val="000000"/>
          <w:spacing w:val="0"/>
          <w:w w:val="100"/>
          <w:shd w:fill="auto" w:val="clear"/>
          <w:vertAlign w:val="superscript"/>
          <w:lang w:val="en-US" w:eastAsia="en-US" w:bidi="en-US"/>
        </w:rPr>
        <w:t>Unter schlechten Regierungen ist diese Gleichheit nur scheinbar und illusorisch; es dient nur dazu, die Armen in ihrem Elend und die Reichen in ihrer Usurpation zu halten. Tatsächlich sind Gesetze immer nützlich für die, die nichts haben, und schädlich für die, die nichts haben: woraus folgt, dass der soziale Staat den Menschen nur insofern nützt, als sie alle etwas haben, zB keines zu viel ist.245</w:t>
      </w:r>
    </w:p>
    <w:p>
      <w:pPr>
        <w:pStyle w:val="Flietext21"/>
        <w:keepNext w:val="false"/>
        <w:keepLines w:val="false"/>
        <w:widowControl w:val="false"/>
        <w:numPr>
          <w:ilvl w:val="0"/>
          <w:numId w:val="24"/>
        </w:numPr>
        <w:shd w:val="clear" w:color="auto" w:fill="auto"/>
        <w:tabs>
          <w:tab w:val="clear" w:pos="720"/>
          <w:tab w:val="left" w:pos="639" w:leader="none"/>
        </w:tabs>
        <w:bidi w:val="0"/>
        <w:spacing w:lineRule="auto" w:line="192" w:before="0" w:after="0"/>
        <w:ind w:left="0" w:right="0" w:firstLine="240"/>
        <w:jc w:val="both"/>
        <w:rPr/>
      </w:pPr>
      <w:r>
        <w:rPr>
          <w:color w:val="000000"/>
          <w:spacing w:val="0"/>
          <w:w w:val="100"/>
          <w:shd w:fill="auto" w:val="clear"/>
          <w:lang w:val="en-US" w:eastAsia="en-US" w:bidi="en-US"/>
        </w:rPr>
        <w:t>Rousseau, Aus dem Gesellschaftsvertrag, Bk. I, Ch. VIII, p. 246.</w:t>
      </w:r>
    </w:p>
    <w:p>
      <w:pPr>
        <w:pStyle w:val="Flietext21"/>
        <w:keepNext w:val="false"/>
        <w:keepLines w:val="false"/>
        <w:widowControl w:val="false"/>
        <w:numPr>
          <w:ilvl w:val="0"/>
          <w:numId w:val="24"/>
        </w:numPr>
        <w:shd w:val="clear" w:color="auto" w:fill="auto"/>
        <w:tabs>
          <w:tab w:val="clear" w:pos="720"/>
          <w:tab w:val="left" w:pos="634" w:leader="none"/>
        </w:tabs>
        <w:bidi w:val="0"/>
        <w:spacing w:before="0" w:after="0"/>
        <w:ind w:left="0" w:right="0" w:firstLine="320"/>
        <w:jc w:val="both"/>
        <w:rPr/>
      </w:pPr>
      <w:r>
        <w:rPr>
          <w:color w:val="000000"/>
          <w:spacing w:val="0"/>
          <w:w w:val="100"/>
          <w:shd w:fill="auto" w:val="clear"/>
          <w:lang w:val="en-US" w:eastAsia="en-US" w:bidi="en-US"/>
        </w:rPr>
        <w:t>Vgl. z.B. De;rathe, Rousseau et la Science Politique, p. 163; Masters, „Die Struktur von Rousseaus politischem Denken“, in Cranston &amp; Peters (Hrsg.), Hobbes und Rousseau; und Masters, The Political Philosophy of Rousseau (Princeton, N.J.: Princeton University Press, 1968), p. 269.</w:t>
      </w:r>
    </w:p>
    <w:p>
      <w:pPr>
        <w:pStyle w:val="Flietext21"/>
        <w:keepNext w:val="false"/>
        <w:keepLines w:val="false"/>
        <w:widowControl w:val="false"/>
        <w:numPr>
          <w:ilvl w:val="0"/>
          <w:numId w:val="24"/>
        </w:numPr>
        <w:shd w:val="clear" w:color="auto" w:fill="auto"/>
        <w:tabs>
          <w:tab w:val="clear" w:pos="720"/>
          <w:tab w:val="left" w:pos="639" w:leader="none"/>
        </w:tabs>
        <w:bidi w:val="0"/>
        <w:spacing w:lineRule="auto" w:line="192" w:before="0" w:after="200"/>
        <w:ind w:left="0" w:right="0" w:firstLine="240"/>
        <w:jc w:val="left"/>
        <w:rPr/>
      </w:pPr>
      <w:r>
        <w:rPr>
          <w:i/>
          <w:iCs/>
          <w:color w:val="000000"/>
          <w:spacing w:val="0"/>
          <w:w w:val="100"/>
          <w:shd w:fill="auto" w:val="clear"/>
          <w:lang w:val="en-US" w:eastAsia="en-US" w:bidi="en-US"/>
        </w:rPr>
        <w:t>Shklar, Männer und Bürger.</w:t>
      </w:r>
    </w:p>
    <w:p>
      <w:pPr>
        <w:pStyle w:val="Flietext1"/>
        <w:keepNext w:val="false"/>
        <w:keepLines w:val="false"/>
        <w:widowControl w:val="false"/>
        <w:shd w:val="clear" w:color="auto" w:fill="auto"/>
        <w:bidi w:val="0"/>
        <w:spacing w:before="0" w:after="0"/>
        <w:ind w:left="0" w:right="0" w:hanging="0"/>
        <w:jc w:val="both"/>
        <w:rPr/>
      </w:pPr>
      <w:r>
        <w:rPr>
          <w:color w:val="000000"/>
          <w:spacing w:val="0"/>
          <w:w w:val="100"/>
          <w:shd w:fill="auto" w:val="clear"/>
          <w:lang w:val="en-US" w:eastAsia="en-US" w:bidi="en-US"/>
        </w:rPr>
        <w:t>Zweitens beantwortet dieser Vertrag die Frage, wie es dazu kam, dass der Mensch überall in Ketten liegt, und er erklärt im einleitenden Absatz von Du Contrat Social, dass es nicht seine gegenwärtige Absicht sei, diese Frage zu beantworten. (Eigentlich sagt er, dass er die Antwort trotz Deuxieme Discours nicht kennt.) Stattdessen will er fragen, wie die Ketten der Gesellschaft legitimiert werden können, und dies wird nur durch den zweiten Vertrag beantwortet.</w:t>
      </w:r>
    </w:p>
    <w:p>
      <w:pPr>
        <w:pStyle w:val="Flietext1"/>
        <w:keepNext w:val="false"/>
        <w:keepLines w:val="false"/>
        <w:widowControl w:val="false"/>
        <w:shd w:val="clear" w:color="auto" w:fill="auto"/>
        <w:bidi w:val="0"/>
        <w:spacing w:before="0" w:after="260"/>
        <w:ind w:left="0" w:right="0" w:firstLine="280"/>
        <w:jc w:val="both"/>
        <w:rPr/>
      </w:pPr>
      <w:r>
        <w:rPr>
          <w:color w:val="000000"/>
          <w:spacing w:val="0"/>
          <w:w w:val="100"/>
          <w:shd w:fill="auto" w:val="clear"/>
          <w:lang w:val="en-US" w:eastAsia="en-US" w:bidi="en-US"/>
        </w:rPr>
        <w:t>Der zweite Vertrag, der ausführlich in Du Contrat Social behandelt wird, ist keine Beschreibung, sondern eine Vorschrift und verlangt drastische Revisionen der politischen Strukturen der bestehenden Gesellschaft, wenn er verwirklicht werden soll; Das Vorhandensein einer regelmäßig einberufenen Versammlung aller Bürger, die routinemäßig befugt sind, die Verfassungsform zu ändern246, ist eindeutig kein Merkmal, das in den politischen Institutionen der meisten Staaten seiner Zeit leicht auszumachen ist. Wright behandelt diese beiden Verträge als eine Frage der Evolution – es gibt „Überbleibsel“ der Vorstellung von „einem Vertrag, der in prähistorischen Tagen geschlossen wurde, um die Gesellschaft zu gründen“, aber für ein besseres Verständnis von Rousseau müssen wir dies als Nachfolger „einer Vereinbarung“ ansehen wir müssen jetzt machen, wenn wir die richtige Gesellschaft haben wollen“247 – aber es scheint ebenso vertretbar und nützlich, dies als eine implizite Unterscheidung zu sehen, als zwei Verträge mit ganz unterschiedlichem Status. Da es dieser zweite Vertrag ist, der für die Frage der Verpflichtung relevant ist, wie sie in Du Contrat Social diskutiert wird (es ist eine ziemlich offene Frage, ob gegenwärtige Gesellschaften nur so schlecht organisiert sind wie die volonte generale überhaupt), 248 Fragen nach dem historischen Status des ersten Vertrages sind völlig irrelevant. Darüber hinaus ähnelt der Vertrag von Rousseau, wie später ausführlicher dargelegt wird, dem von Hobbes und Locke, da es sich um einen unterstellten Vertrag handelt, wodurch die historische Frage noch nebensächlicher wird.</w:t>
      </w:r>
    </w:p>
    <w:p>
      <w:pPr>
        <w:pStyle w:val="Flietext21"/>
        <w:keepNext w:val="false"/>
        <w:keepLines w:val="false"/>
        <w:widowControl w:val="false"/>
        <w:numPr>
          <w:ilvl w:val="0"/>
          <w:numId w:val="24"/>
        </w:numPr>
        <w:shd w:val="clear" w:color="auto" w:fill="auto"/>
        <w:tabs>
          <w:tab w:val="clear" w:pos="720"/>
          <w:tab w:val="left" w:pos="650" w:leader="none"/>
        </w:tabs>
        <w:bidi w:val="0"/>
        <w:spacing w:lineRule="auto" w:line="240" w:before="0" w:after="0"/>
        <w:ind w:left="0" w:right="0" w:firstLine="260"/>
        <w:jc w:val="left"/>
        <w:rPr/>
      </w:pPr>
      <w:r>
        <w:rPr>
          <w:color w:val="000000"/>
          <w:spacing w:val="0"/>
          <w:w w:val="100"/>
          <w:shd w:fill="auto" w:val="clear"/>
          <w:lang w:val="en-US" w:eastAsia="en-US" w:bidi="en-US"/>
        </w:rPr>
        <w:t>Broome, Rousseau, S. 44.</w:t>
      </w:r>
    </w:p>
    <w:p>
      <w:pPr>
        <w:pStyle w:val="Flietext21"/>
        <w:keepNext w:val="false"/>
        <w:keepLines w:val="false"/>
        <w:widowControl w:val="false"/>
        <w:numPr>
          <w:ilvl w:val="0"/>
          <w:numId w:val="24"/>
        </w:numPr>
        <w:shd w:val="clear" w:color="auto" w:fill="auto"/>
        <w:tabs>
          <w:tab w:val="clear" w:pos="720"/>
          <w:tab w:val="left" w:pos="650" w:leader="none"/>
        </w:tabs>
        <w:bidi w:val="0"/>
        <w:spacing w:lineRule="auto" w:line="220" w:before="0" w:after="0"/>
        <w:ind w:left="0" w:right="0" w:firstLine="260"/>
        <w:jc w:val="left"/>
        <w:rPr/>
      </w:pPr>
      <w:r>
        <w:rPr>
          <w:color w:val="000000"/>
          <w:spacing w:val="0"/>
          <w:w w:val="100"/>
          <w:shd w:fill="auto" w:val="clear"/>
          <w:lang w:val="en-US" w:eastAsia="en-US" w:bidi="en-US"/>
        </w:rPr>
        <w:t>Rousseau, Aus dem Gesellschaftsvertrag, Bk. I, Kap. ix, p. 249.</w:t>
      </w:r>
    </w:p>
    <w:p>
      <w:pPr>
        <w:pStyle w:val="Flietext21"/>
        <w:keepNext w:val="false"/>
        <w:keepLines w:val="false"/>
        <w:widowControl w:val="false"/>
        <w:numPr>
          <w:ilvl w:val="0"/>
          <w:numId w:val="24"/>
        </w:numPr>
        <w:shd w:val="clear" w:color="auto" w:fill="auto"/>
        <w:tabs>
          <w:tab w:val="clear" w:pos="720"/>
          <w:tab w:val="left" w:pos="650" w:leader="none"/>
        </w:tabs>
        <w:bidi w:val="0"/>
        <w:spacing w:before="0" w:after="200"/>
        <w:ind w:left="0" w:right="0" w:firstLine="260"/>
        <w:jc w:val="both"/>
        <w:rPr/>
      </w:pPr>
      <w:r>
        <w:rPr>
          <w:color w:val="000000"/>
          <w:spacing w:val="0"/>
          <w:w w:val="100"/>
          <w:shd w:fill="auto" w:val="clear"/>
          <w:lang w:val="en-US" w:eastAsia="en-US" w:bidi="en-US"/>
        </w:rPr>
        <w:t>Rousseau, Aus dem Gesellschaftsvertrag, Bk. III, Ch. xviii, p. 307.</w:t>
      </w:r>
    </w:p>
    <w:p>
      <w:pPr>
        <w:pStyle w:val="Flietext1"/>
        <w:keepNext w:val="false"/>
        <w:keepLines w:val="false"/>
        <w:widowControl w:val="false"/>
        <w:shd w:val="clear" w:color="auto" w:fill="auto"/>
        <w:bidi w:val="0"/>
        <w:spacing w:before="0" w:after="300"/>
        <w:ind w:left="0" w:right="0" w:firstLine="280"/>
        <w:jc w:val="both"/>
        <w:rPr/>
      </w:pPr>
      <w:r>
        <w:rPr>
          <w:color w:val="000000"/>
          <w:spacing w:val="0"/>
          <w:w w:val="100"/>
          <w:shd w:fill="auto" w:val="clear"/>
          <w:vertAlign w:val="superscript"/>
          <w:lang w:val="en-US" w:eastAsia="en-US" w:bidi="en-US"/>
        </w:rPr>
        <w:t>Rousseaus scheinbar ambivalente Haltung gegenüber der Gesellschaft wird weniger widersprüchlich, wenn man sie im Lichte des Ansatzes der „zwei Verträge“ betrachtet. Sein mangelnder Enthusiasmus für die zeitgenössische Gesellschaft musste und bedeutete für ihn keine Ablehnung der Gesellschaft als solcher. Der „natürliche“ Mensch ist keine Alternative, sondern eine zeitlose Abstraktion, die als kritischer Maßstab dient; Bei aller Rhetorik und Polemik des Naturstaates bestand sein wesentliches Ziel darin, den Staat wieder zu einem höheren Zweck zu erheben, als ihm im zeitgenössischen politischen Diskurs zugesprochen wurde, ein weiterer im Einklang mit „der klassischen griechischen Beharrlichkeit, dass die Gemeinschaft der Lehrer ist der Tugend.“249 Er griff die korrupte Gesellschaft nicht an, weil sie eine Gesellschaft sei, sondern weil sie korrupt sei. Sicher, sein quasi-historischer Bericht stellt zumindest einige dieser Korruptionen und Unvollkommenheiten (wie die Suche nach Reichtum, den Wunsch nach Erwerb) an die eigentliche Wurzel des betrügerischen Vertrags, der im Deuxieme Discours beschrieben wird, und ist nicht für diese Kräfte verantwortlich zu machen , die weit außerhalb des menschlichen Willens oder der Kontrolle liegen. Der betrügerische Vertrag ist schlimmstenfalls eine Folge jener Zerstörung natürlicher Güte, bestenfalls ein verpatzter Versuch der Erlösung, die durch die in Du Contrat Social beschriebene Vertragsform möglich ist. Seine Vorbehalte gegen den bestehenden Staat stehen nicht, wie Strauss irrtümlich suggeriert,250 im Namen des Naturzustands, sondern im Namen des Idealstaats, weniger in der Tradition Nachajews als in der Platons. Rousseau ist weit davon entfernt, die beiden Gesellschaften voneinander zu trennen oder deutlich zu machen, wann er vom eigentlichen Vertrag spricht und wann er vom gereinigten Vertrag spricht. In diesem Mangel ist er leider alles andere als einzigartig; Wie Ball reuevoll anmerkt: „(i)es würde die politische Theorie erheblich verdeutlichen, wenn Schriftsteller immer spezifizieren würden, ob es der tatsächliche oder der ideale Staat ist, auf den sie sich beziehen. ”251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21"/>
        <w:keepNext w:val="false"/>
        <w:keepLines w:val="false"/>
        <w:widowControl w:val="false"/>
        <w:numPr>
          <w:ilvl w:val="0"/>
          <w:numId w:val="24"/>
        </w:numPr>
        <w:shd w:val="clear" w:color="auto" w:fill="auto"/>
        <w:tabs>
          <w:tab w:val="clear" w:pos="720"/>
          <w:tab w:val="left" w:pos="650" w:leader="none"/>
        </w:tabs>
        <w:bidi w:val="0"/>
        <w:spacing w:lineRule="auto" w:line="189" w:before="0" w:after="0"/>
        <w:ind w:left="0" w:right="0" w:firstLine="260"/>
        <w:jc w:val="left"/>
        <w:rPr/>
      </w:pPr>
      <w:r>
        <w:rPr>
          <w:color w:val="000000"/>
          <w:spacing w:val="0"/>
          <w:w w:val="100"/>
          <w:shd w:fill="auto" w:val="clear"/>
          <w:lang w:val="en-US" w:eastAsia="en-US" w:bidi="en-US"/>
        </w:rPr>
        <w:t>Wright, Die Bedeutung von Rousseau, S. 92.</w:t>
      </w:r>
    </w:p>
    <w:p>
      <w:pPr>
        <w:pStyle w:val="Flietext21"/>
        <w:keepNext w:val="false"/>
        <w:keepLines w:val="false"/>
        <w:widowControl w:val="false"/>
        <w:numPr>
          <w:ilvl w:val="0"/>
          <w:numId w:val="24"/>
        </w:numPr>
        <w:shd w:val="clear" w:color="auto" w:fill="auto"/>
        <w:tabs>
          <w:tab w:val="clear" w:pos="720"/>
          <w:tab w:val="left" w:pos="650" w:leader="none"/>
        </w:tabs>
        <w:bidi w:val="0"/>
        <w:spacing w:lineRule="auto" w:line="189" w:before="0" w:after="0"/>
        <w:ind w:left="0" w:right="0" w:firstLine="260"/>
        <w:jc w:val="left"/>
        <w:rPr/>
      </w:pPr>
      <w:r>
        <w:rPr>
          <w:color w:val="000000"/>
          <w:spacing w:val="0"/>
          <w:w w:val="100"/>
          <w:shd w:fill="auto" w:val="clear"/>
          <w:lang w:val="en-US" w:eastAsia="en-US" w:bidi="en-US"/>
        </w:rPr>
        <w:t>Auf diesen Punkt wird am Ende dieses Abschnitts ausführlicher eingegangen</w:t>
      </w:r>
    </w:p>
    <w:p>
      <w:pPr>
        <w:pStyle w:val="Flietext21"/>
        <w:keepNext w:val="false"/>
        <w:keepLines w:val="false"/>
        <w:widowControl w:val="false"/>
        <w:numPr>
          <w:ilvl w:val="0"/>
          <w:numId w:val="24"/>
        </w:numPr>
        <w:shd w:val="clear" w:color="auto" w:fill="auto"/>
        <w:tabs>
          <w:tab w:val="clear" w:pos="720"/>
          <w:tab w:val="left" w:pos="625" w:leader="none"/>
        </w:tabs>
        <w:bidi w:val="0"/>
        <w:spacing w:lineRule="auto" w:line="213" w:before="0" w:after="200"/>
        <w:ind w:left="0" w:right="0" w:firstLine="280"/>
        <w:jc w:val="both"/>
        <w:rPr/>
      </w:pPr>
      <w:r>
        <w:rPr>
          <w:color w:val="000000"/>
          <w:spacing w:val="0"/>
          <w:w w:val="100"/>
          <w:shd w:fill="auto" w:val="clear"/>
          <w:lang w:val="en-US" w:eastAsia="en-US" w:bidi="en-US"/>
        </w:rPr>
        <w:t>Frankel, „Introduction“ zu Rousseau, Social Contract (New York: Hafner Publishing Co., 1947), p. xv.</w:t>
      </w:r>
    </w:p>
    <w:p>
      <w:pPr>
        <w:pStyle w:val="Flietext1"/>
        <w:keepNext w:val="false"/>
        <w:keepLines w:val="false"/>
        <w:widowControl w:val="false"/>
        <w:shd w:val="clear" w:color="auto" w:fill="auto"/>
        <w:bidi w:val="0"/>
        <w:spacing w:before="0" w:after="280"/>
        <w:ind w:left="0" w:right="0" w:firstLine="280"/>
        <w:jc w:val="both"/>
        <w:rPr/>
      </w:pPr>
      <w:r>
        <w:rPr>
          <w:color w:val="000000"/>
          <w:spacing w:val="0"/>
          <w:w w:val="100"/>
          <w:shd w:fill="auto" w:val="clear"/>
          <w:lang w:val="en-US" w:eastAsia="en-US" w:bidi="en-US"/>
        </w:rPr>
        <w:t>Rousseaus Einwände gegen die zeitgenössische Gesellschaft waren nicht im Namen einer Rückkehr zur Natur, denn er war sich der Grenzen dieses brutalen Zustands sehr wohl bewusst; Stattdessen standen sie im Namen seiner Vision eines idealen oder reformierten gesellschaftlichen Zustands, ganz anders als der Status quo, den er so vehement angegriffen hatte. Doch hier wird die Situation etwas verwirrender, da Rousseau nicht ein Ideal, sondern zwei hatte, eine These, die am besten von Shklar untersucht wird.252 Die beiden Bilder, die Rousseau (abgesehen von dem falschen Ideal des edlen Wilden) anführt, sind das erste, das des einfachen Bauern Leben; und zweitens die eines Stadtstaates nach dem Vorbild von Sparta, Rom oder Rousseaus Genf. Der Kontrast besteht zwischen dem „Mann am Rande der Gesellschaft“ von Emile und dem „Mann in und von der Gesellschaft“ von Du Contrat Social. Dass die beiden Ideale nicht ohne Weiteres miteinander vereinbar sind, liegt auf der Hand – wie Cobban sagt: „Es ist notwendig, zwischen dem Mann und dem Bürger zu wählen.“253 Man kann nicht weiter als auf den Widerspruch blicken und Rousseau einer „brillanten Inkohärenz“ schuldig machen “254 oder mit Mabbott zu behaupten, dass sich das, was wir beobachten, im Laufe der Zeit verändert.255 Chapman bestreitet jedoch, dass der Widerspruch schwerwiegend oder unerklärlich ist, und schlägt vor, dass „(nicht) die Mehrdeutigkeit von Idealen, sondern der Zweifel an ihrer Erreichbarkeit die Quelle von Rousseaus Schwankungen ist ” zu diesem Punkt.258 Die beiden Ideale für den Menschen werden zum Gegenteil von Rousseaus beiden Verträgen – wo die Gesellschaft korrupt ist, wo Männer unter dem betrügerischen Vertrag des Deuxieme Discours leben, ist das angemessene Bild das des einfachen Bauern, der am Rande der Gesellschaft lebt , aber wo die Gesellschaft dem Idealstaat vergleichbar ist, ist das Bild des teilnehmenden Bürgers angemessen. Die Ideale widersprechen sich weniger, als dass das Bild vom Rand der Gesellschaft eine „zweitbeste, leichter erreichbare“257 Version ist, die Rousseau verwendet, wenn er pessimistisch über die Möglichkeiten eines legitimen Staates von Du Contrat Social wird . Wichtig ist, dass Cobbans Wahl zwischen Mensch und Bürger nicht willkürlich nach der Laune des Einzelnen getroffen wird, sondern für ihn durch die konkrete Tatsache der Natur der jeweiligen Gesellschaft getroffen wird – die Willkür hat keinen Platz in einem unterstellten Vertrag. Diese Ansicht erscheint plausibler als Shklars Beharren auf Rousseaus totalem Pessimismus, der beide Bilder als Optionen postuliert, die einst erreichbar waren, jetzt aber jenseits jeder möglichen Wiedergewinnung herumfummelten; und vollständiger als Strauss' Erhebung des ersten Ideals zu einer so überragenden Bedeutung Das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1"/>
        <w:keepNext w:val="false"/>
        <w:keepLines w:val="false"/>
        <w:widowControl w:val="false"/>
        <w:shd w:val="clear" w:color="auto" w:fill="auto"/>
        <w:bidi w:val="0"/>
        <w:spacing w:before="0" w:after="280"/>
        <w:ind w:left="260" w:right="0" w:firstLine="360"/>
        <w:jc w:val="left"/>
        <w:rPr/>
      </w:pPr>
      <w:r>
        <w:rPr>
          <w:color w:val="000000"/>
          <w:spacing w:val="0"/>
          <w:w w:val="100"/>
          <w:shd w:fill="auto" w:val="clear"/>
          <w:vertAlign w:val="superscript"/>
          <w:lang w:val="en-US" w:eastAsia="en-US" w:bidi="en-US"/>
        </w:rPr>
        <w:t>(t)Die letzte Rechtfertigung der Zivilgesellschaft ist also die Tatsache, dass sie es einem bestimmten Typ von Individuum ermöglicht, das höchste Glück zu genießen, indem sie sich aus der Zivilgesellschaft zurückzieht, d. h. indem sie an ihrem Rand lebt.258</w:t>
      </w:r>
    </w:p>
    <w:p>
      <w:pPr>
        <w:pStyle w:val="Flietext21"/>
        <w:keepNext w:val="false"/>
        <w:keepLines w:val="false"/>
        <w:widowControl w:val="false"/>
        <w:numPr>
          <w:ilvl w:val="0"/>
          <w:numId w:val="24"/>
        </w:numPr>
        <w:shd w:val="clear" w:color="auto" w:fill="auto"/>
        <w:tabs>
          <w:tab w:val="clear" w:pos="720"/>
          <w:tab w:val="left" w:pos="682" w:leader="none"/>
        </w:tabs>
        <w:bidi w:val="0"/>
        <w:spacing w:lineRule="auto" w:line="189" w:before="0" w:after="0"/>
        <w:ind w:left="0" w:right="0" w:firstLine="260"/>
        <w:jc w:val="left"/>
        <w:rPr/>
      </w:pPr>
      <w:r>
        <w:rPr>
          <w:color w:val="000000"/>
          <w:spacing w:val="0"/>
          <w:w w:val="100"/>
          <w:shd w:fill="auto" w:val="clear"/>
          <w:lang w:val="en-US" w:eastAsia="en-US" w:bidi="en-US"/>
        </w:rPr>
        <w:t>Strauss, Naturrecht und Geschichte, S. 294.</w:t>
      </w:r>
    </w:p>
    <w:p>
      <w:pPr>
        <w:pStyle w:val="Flietext21"/>
        <w:keepNext w:val="false"/>
        <w:keepLines w:val="false"/>
        <w:widowControl w:val="false"/>
        <w:numPr>
          <w:ilvl w:val="0"/>
          <w:numId w:val="24"/>
        </w:numPr>
        <w:shd w:val="clear" w:color="auto" w:fill="auto"/>
        <w:tabs>
          <w:tab w:val="clear" w:pos="720"/>
          <w:tab w:val="left" w:pos="657" w:leader="none"/>
        </w:tabs>
        <w:bidi w:val="0"/>
        <w:spacing w:lineRule="auto" w:line="213" w:before="0" w:after="0"/>
        <w:ind w:left="0" w:right="0" w:firstLine="280"/>
        <w:jc w:val="both"/>
        <w:rPr/>
      </w:pPr>
      <w:r>
        <w:rPr>
          <w:color w:val="000000"/>
          <w:spacing w:val="0"/>
          <w:w w:val="100"/>
          <w:shd w:fill="auto" w:val="clear"/>
          <w:lang w:val="en-US" w:eastAsia="en-US" w:bidi="en-US"/>
        </w:rPr>
        <w:t>W. Mcmahon Ball, „The Limits of Political Obligation“, in The International Journal of Ethics, Bd. XLI, Nr. 3 (April 1931), p. 303.</w:t>
      </w:r>
    </w:p>
    <w:p>
      <w:pPr>
        <w:pStyle w:val="Flietext21"/>
        <w:keepNext w:val="false"/>
        <w:keepLines w:val="false"/>
        <w:widowControl w:val="false"/>
        <w:numPr>
          <w:ilvl w:val="0"/>
          <w:numId w:val="24"/>
        </w:numPr>
        <w:shd w:val="clear" w:color="auto" w:fill="auto"/>
        <w:tabs>
          <w:tab w:val="clear" w:pos="720"/>
          <w:tab w:val="left" w:pos="702" w:leader="none"/>
        </w:tabs>
        <w:bidi w:val="0"/>
        <w:spacing w:lineRule="auto" w:line="189" w:before="0" w:after="0"/>
        <w:ind w:left="0" w:right="0" w:firstLine="280"/>
        <w:jc w:val="both"/>
        <w:rPr/>
      </w:pPr>
      <w:r>
        <w:rPr>
          <w:i/>
          <w:iCs/>
          <w:color w:val="000000"/>
          <w:spacing w:val="0"/>
          <w:w w:val="100"/>
          <w:shd w:fill="auto" w:val="clear"/>
          <w:lang w:val="en-US" w:eastAsia="en-US" w:bidi="en-US"/>
        </w:rPr>
        <w:t>Shklar, Männer und Bürger.</w:t>
      </w:r>
    </w:p>
    <w:p>
      <w:pPr>
        <w:pStyle w:val="Flietext21"/>
        <w:keepNext w:val="false"/>
        <w:keepLines w:val="false"/>
        <w:widowControl w:val="false"/>
        <w:numPr>
          <w:ilvl w:val="0"/>
          <w:numId w:val="24"/>
        </w:numPr>
        <w:shd w:val="clear" w:color="auto" w:fill="auto"/>
        <w:tabs>
          <w:tab w:val="clear" w:pos="720"/>
          <w:tab w:val="left" w:pos="652" w:leader="none"/>
        </w:tabs>
        <w:bidi w:val="0"/>
        <w:spacing w:lineRule="auto" w:line="213" w:before="0" w:after="0"/>
        <w:ind w:left="0" w:right="0" w:firstLine="280"/>
        <w:jc w:val="both"/>
        <w:rPr/>
      </w:pPr>
      <w:r>
        <w:rPr>
          <w:color w:val="000000"/>
          <w:spacing w:val="0"/>
          <w:w w:val="100"/>
          <w:shd w:fill="auto" w:val="clear"/>
          <w:lang w:val="en-US" w:eastAsia="en-US" w:bidi="en-US"/>
        </w:rPr>
        <w:t>Alfred Cobban, Rousseau und der moderne Staat (London: George Allen &amp; Unwin Ltd., 1968), p. 113.</w:t>
      </w:r>
    </w:p>
    <w:p>
      <w:pPr>
        <w:pStyle w:val="Flietext21"/>
        <w:keepNext w:val="false"/>
        <w:keepLines w:val="false"/>
        <w:widowControl w:val="false"/>
        <w:numPr>
          <w:ilvl w:val="0"/>
          <w:numId w:val="24"/>
        </w:numPr>
        <w:shd w:val="clear" w:color="auto" w:fill="auto"/>
        <w:tabs>
          <w:tab w:val="clear" w:pos="720"/>
          <w:tab w:val="left" w:pos="657" w:leader="none"/>
        </w:tabs>
        <w:bidi w:val="0"/>
        <w:spacing w:lineRule="auto" w:line="213" w:before="0" w:after="0"/>
        <w:ind w:left="0" w:right="0" w:firstLine="280"/>
        <w:jc w:val="both"/>
        <w:rPr/>
      </w:pPr>
      <w:r>
        <w:rPr>
          <w:color w:val="000000"/>
          <w:spacing w:val="0"/>
          <w:w w:val="100"/>
          <w:shd w:fill="auto" w:val="clear"/>
          <w:lang w:val="en-US" w:eastAsia="en-US" w:bidi="en-US"/>
        </w:rPr>
        <w:t>R.H.S. Crossman, Government and the Governed: A History of Political Ideas and Political Practice, (5. Auflage) (London: Chatto &amp; Windus, 1969), p. 112.</w:t>
      </w:r>
    </w:p>
    <w:p>
      <w:pPr>
        <w:pStyle w:val="Flietext21"/>
        <w:keepNext w:val="false"/>
        <w:keepLines w:val="false"/>
        <w:widowControl w:val="false"/>
        <w:numPr>
          <w:ilvl w:val="0"/>
          <w:numId w:val="24"/>
        </w:numPr>
        <w:shd w:val="clear" w:color="auto" w:fill="auto"/>
        <w:tabs>
          <w:tab w:val="clear" w:pos="720"/>
          <w:tab w:val="left" w:pos="702" w:leader="none"/>
        </w:tabs>
        <w:bidi w:val="0"/>
        <w:spacing w:lineRule="auto" w:line="189" w:before="0" w:after="0"/>
        <w:ind w:left="0" w:right="0" w:firstLine="280"/>
        <w:jc w:val="both"/>
        <w:rPr/>
      </w:pPr>
      <w:r>
        <w:rPr>
          <w:color w:val="000000"/>
          <w:spacing w:val="0"/>
          <w:w w:val="100"/>
          <w:shd w:fill="auto" w:val="clear"/>
          <w:lang w:val="en-US" w:eastAsia="en-US" w:bidi="en-US"/>
        </w:rPr>
        <w:t>Mabbott, Der Staat und der Bürger, S. 27.</w:t>
      </w:r>
    </w:p>
    <w:p>
      <w:pPr>
        <w:pStyle w:val="Flietext21"/>
        <w:keepNext w:val="false"/>
        <w:keepLines w:val="false"/>
        <w:widowControl w:val="false"/>
        <w:numPr>
          <w:ilvl w:val="0"/>
          <w:numId w:val="24"/>
        </w:numPr>
        <w:shd w:val="clear" w:color="auto" w:fill="auto"/>
        <w:tabs>
          <w:tab w:val="clear" w:pos="720"/>
          <w:tab w:val="left" w:pos="702" w:leader="none"/>
        </w:tabs>
        <w:bidi w:val="0"/>
        <w:spacing w:lineRule="auto" w:line="189" w:before="0" w:after="0"/>
        <w:ind w:left="0" w:right="0" w:firstLine="280"/>
        <w:jc w:val="both"/>
        <w:rPr/>
      </w:pPr>
      <w:r>
        <w:rPr>
          <w:color w:val="000000"/>
          <w:spacing w:val="0"/>
          <w:w w:val="100"/>
          <w:shd w:fill="auto" w:val="clear"/>
          <w:lang w:val="en-US" w:eastAsia="en-US" w:bidi="en-US"/>
        </w:rPr>
        <w:t>Chapman, Rousseau, S. 21.</w:t>
      </w:r>
    </w:p>
    <w:p>
      <w:pPr>
        <w:pStyle w:val="Flietext1"/>
        <w:keepNext w:val="false"/>
        <w:keepLines w:val="false"/>
        <w:widowControl w:val="false"/>
        <w:numPr>
          <w:ilvl w:val="0"/>
          <w:numId w:val="24"/>
        </w:numPr>
        <w:shd w:val="clear" w:color="auto" w:fill="auto"/>
        <w:tabs>
          <w:tab w:val="clear" w:pos="720"/>
          <w:tab w:val="left" w:pos="682" w:leader="none"/>
        </w:tabs>
        <w:bidi w:val="0"/>
        <w:spacing w:lineRule="auto" w:line="189" w:before="0" w:after="0"/>
        <w:ind w:left="0" w:right="0" w:firstLine="260"/>
        <w:jc w:val="left"/>
        <w:rPr>
          <w:sz w:val="22"/>
          <w:szCs w:val="22"/>
        </w:rPr>
      </w:pPr>
      <w:r>
        <w:rPr>
          <w:color w:val="000000"/>
          <w:spacing w:val="0"/>
          <w:w w:val="100"/>
          <w:sz w:val="22"/>
          <w:szCs w:val="22"/>
          <w:shd w:fill="auto" w:val="clear"/>
          <w:lang w:val="en-US" w:eastAsia="en-US" w:bidi="en-US"/>
        </w:rPr>
        <w:t>Ebenda.</w:t>
      </w:r>
    </w:p>
    <w:p>
      <w:pPr>
        <w:pStyle w:val="Flietext21"/>
        <w:keepNext w:val="false"/>
        <w:keepLines w:val="false"/>
        <w:widowControl w:val="false"/>
        <w:numPr>
          <w:ilvl w:val="0"/>
          <w:numId w:val="24"/>
        </w:numPr>
        <w:shd w:val="clear" w:color="auto" w:fill="auto"/>
        <w:tabs>
          <w:tab w:val="clear" w:pos="720"/>
          <w:tab w:val="left" w:pos="682" w:leader="none"/>
        </w:tabs>
        <w:bidi w:val="0"/>
        <w:spacing w:lineRule="auto" w:line="189" w:before="0" w:after="200"/>
        <w:ind w:left="0" w:right="0" w:firstLine="260"/>
        <w:jc w:val="left"/>
        <w:rPr/>
      </w:pPr>
      <w:r>
        <w:rPr>
          <w:color w:val="000000"/>
          <w:spacing w:val="0"/>
          <w:w w:val="100"/>
          <w:shd w:fill="auto" w:val="clear"/>
          <w:lang w:val="en-US" w:eastAsia="en-US" w:bidi="en-US"/>
        </w:rPr>
        <w:t>Strauss, Naturrecht und Geschichte, S. 292.</w:t>
      </w:r>
    </w:p>
    <w:p>
      <w:pPr>
        <w:pStyle w:val="Flietext1"/>
        <w:keepNext w:val="false"/>
        <w:keepLines w:val="false"/>
        <w:widowControl w:val="false"/>
        <w:shd w:val="clear" w:color="auto" w:fill="auto"/>
        <w:bidi w:val="0"/>
        <w:spacing w:before="0" w:after="0"/>
        <w:ind w:left="0" w:right="0" w:hanging="0"/>
        <w:jc w:val="both"/>
        <w:rPr/>
      </w:pPr>
      <w:r>
        <w:rPr>
          <w:color w:val="000000"/>
          <w:spacing w:val="0"/>
          <w:w w:val="100"/>
          <w:shd w:fill="auto" w:val="clear"/>
          <w:lang w:val="en-US" w:eastAsia="en-US" w:bidi="en-US"/>
        </w:rPr>
        <w:t>Genauer gesagt, die Art von Gesellschaft, in der das Leben am Rande angemessen ist, ist bereits weit hinter der „letzten Rechtfertigung“ zurückgeblieben. Wo die Gesellschaft nicht korrupt ist, ist und kann der Austritt aus der Gesellschaft nicht verordnet werden.</w:t>
      </w:r>
    </w:p>
    <w:p>
      <w:pPr>
        <w:pStyle w:val="Flietext1"/>
        <w:keepNext w:val="false"/>
        <w:keepLines w:val="false"/>
        <w:widowControl w:val="false"/>
        <w:shd w:val="clear" w:color="auto" w:fill="auto"/>
        <w:bidi w:val="0"/>
        <w:spacing w:before="0" w:after="100"/>
        <w:ind w:left="0" w:right="0" w:firstLine="260"/>
        <w:jc w:val="left"/>
        <w:rPr/>
      </w:pPr>
      <w:r>
        <w:rPr>
          <w:color w:val="000000"/>
          <w:spacing w:val="0"/>
          <w:w w:val="100"/>
          <w:shd w:fill="auto" w:val="clear"/>
          <w:lang w:val="en-US" w:eastAsia="en-US" w:bidi="en-US"/>
        </w:rPr>
        <w:t>Wright geht zu weit, um das zu sagen:</w:t>
      </w:r>
    </w:p>
    <w:p>
      <w:pPr>
        <w:pStyle w:val="Flietext1"/>
        <w:keepNext w:val="false"/>
        <w:keepLines w:val="false"/>
        <w:widowControl w:val="false"/>
        <w:shd w:val="clear" w:color="auto" w:fill="auto"/>
        <w:bidi w:val="0"/>
        <w:spacing w:lineRule="auto" w:line="252" w:before="0" w:after="280"/>
        <w:ind w:left="260" w:right="0" w:firstLine="360"/>
        <w:jc w:val="left"/>
        <w:rPr/>
      </w:pPr>
      <w:r>
        <w:rPr>
          <w:color w:val="000000"/>
          <w:spacing w:val="0"/>
          <w:w w:val="100"/>
          <w:shd w:fill="auto" w:val="clear"/>
          <w:vertAlign w:val="superscript"/>
          <w:lang w:val="en-US" w:eastAsia="en-US" w:bidi="en-US"/>
        </w:rPr>
        <w:t>der Staat wird die Erziehung des Einzelnen haben, und eine richtige Erziehung ist der souveräne Weg, einen wahren Bürger zu machen ... Und so kommen der Vertrag und der Emile in Einklang. Der eine würde einen natürlichen Menschen bilden, um seinen Anteil an der natürlichen Gesellschaft zu nehmen, die im anderen skizziert wird.259260</w:t>
      </w:r>
    </w:p>
    <w:p>
      <w:pPr>
        <w:pStyle w:val="Flietext1"/>
        <w:keepNext w:val="false"/>
        <w:keepLines w:val="false"/>
        <w:widowControl w:val="false"/>
        <w:shd w:val="clear" w:color="auto" w:fill="auto"/>
        <w:bidi w:val="0"/>
        <w:spacing w:before="0" w:after="0"/>
        <w:ind w:left="0" w:right="0" w:hanging="0"/>
        <w:jc w:val="both"/>
        <w:rPr/>
      </w:pPr>
      <w:r>
        <w:rPr>
          <w:color w:val="000000"/>
          <w:spacing w:val="0"/>
          <w:w w:val="100"/>
          <w:shd w:fill="auto" w:val="clear"/>
          <w:lang w:val="en-US" w:eastAsia="en-US" w:bidi="en-US"/>
        </w:rPr>
        <w:t>Zu versuchen, einen scheinbaren Widerspruch zu erklären, ist eine Sache; es ganz zu leugnen, ist eine andere. Zwar gibt es Parallelen zwischen dem idealen Bürger und dem idealen Mann am Rande der Gesellschaft; da beide die Antwort von Rousseaus Philosophie auf eine andere spezifische Umgebung sind, ist dies nur zu erwarten. Die auffallendste Ähnlichkeit ist die sorgfältige Eliminierung jedes Grades von Rousseaus bete noire, persönlicher Abhängigkeit; bei Emile wird dies jedoch nur dadurch vermieden, dass der Erzieher die Dinge so arrangiert, dass Emile sich immer von Dingen und nicht von Menschen kontrolliert fühlt, während man bei Contrat die persönliche Abhängigkeit durch eine totale Abhängigkeit vom Staat und von den Gesetzen vermeidet. In gewisser Weise wäre Emile im idealen Staat für die Staatsbürgerschaft geeignet, in anderer Hinsicht jedoch nicht; zum Beispiel ist der patriotische Eifer, der den rechtmäßigen Staat durchzieht, wie er in Du Contrat Social beschrieben wird, nicht Teil von Emiles Erziehung.</w:t>
      </w:r>
    </w:p>
    <w:p>
      <w:pPr>
        <w:pStyle w:val="Flietext1"/>
        <w:keepNext w:val="false"/>
        <w:keepLines w:val="false"/>
        <w:widowControl w:val="false"/>
        <w:shd w:val="clear" w:color="auto" w:fill="auto"/>
        <w:bidi w:val="0"/>
        <w:spacing w:before="0" w:after="280"/>
        <w:ind w:left="0" w:right="0" w:firstLine="300"/>
        <w:jc w:val="both"/>
        <w:rPr/>
      </w:pPr>
      <w:r>
        <w:rPr>
          <w:color w:val="000000"/>
          <w:spacing w:val="0"/>
          <w:w w:val="100"/>
          <w:shd w:fill="auto" w:val="clear"/>
          <w:lang w:val="en-US" w:eastAsia="en-US" w:bidi="en-US"/>
        </w:rPr>
        <w:t>(Vielleicht könnte man das „am Rande der Gesellschaft“ etwas weiter treiben, indem man als Beispiel für ein solches Leben nicht nur den fiktiven Emile, sondern den tatsächlichen Rousseau betrachtet, der am Ende seines Lebens zugab, ein nutzloser Bürger gewesen zu sein. Wenn die Schattenfigur des Gesetzgebers jemals verwirklicht werden soll, muss sie von einer solchen Person stammen, die am Rande der Gesellschaft lebt, aber nicht eingeholt oder in sie absorbiert wird, und es ist der Vorschlag einer Reihe von Schriftstellern261, dass dies der Fall ist Rolle, in der sich Rousseau selbst sah.)</w:t>
      </w:r>
    </w:p>
    <w:p>
      <w:pPr>
        <w:pStyle w:val="Flietext21"/>
        <w:keepNext w:val="false"/>
        <w:keepLines w:val="false"/>
        <w:widowControl w:val="false"/>
        <w:numPr>
          <w:ilvl w:val="0"/>
          <w:numId w:val="24"/>
        </w:numPr>
        <w:shd w:val="clear" w:color="auto" w:fill="auto"/>
        <w:tabs>
          <w:tab w:val="clear" w:pos="720"/>
          <w:tab w:val="left" w:pos="650" w:leader="none"/>
        </w:tabs>
        <w:bidi w:val="0"/>
        <w:spacing w:lineRule="auto" w:line="189" w:before="0" w:after="0"/>
        <w:ind w:left="0" w:right="0" w:firstLine="260"/>
        <w:jc w:val="left"/>
        <w:rPr/>
      </w:pPr>
      <w:r>
        <w:rPr>
          <w:color w:val="000000"/>
          <w:spacing w:val="0"/>
          <w:w w:val="100"/>
          <w:shd w:fill="auto" w:val="clear"/>
          <w:lang w:val="en-US" w:eastAsia="en-US" w:bidi="en-US"/>
        </w:rPr>
        <w:t>Wright, Die Bedeutung von Rousseau, S. 112.</w:t>
      </w:r>
    </w:p>
    <w:p>
      <w:pPr>
        <w:pStyle w:val="Flietext21"/>
        <w:keepNext w:val="false"/>
        <w:keepLines w:val="false"/>
        <w:widowControl w:val="false"/>
        <w:numPr>
          <w:ilvl w:val="0"/>
          <w:numId w:val="24"/>
        </w:numPr>
        <w:shd w:val="clear" w:color="auto" w:fill="auto"/>
        <w:tabs>
          <w:tab w:val="clear" w:pos="720"/>
          <w:tab w:val="left" w:pos="625" w:leader="none"/>
        </w:tabs>
        <w:bidi w:val="0"/>
        <w:spacing w:lineRule="auto" w:line="228" w:before="0" w:after="200"/>
        <w:ind w:left="0" w:right="0" w:firstLine="300"/>
        <w:jc w:val="both"/>
        <w:rPr/>
      </w:pPr>
      <w:r>
        <w:rPr>
          <w:color w:val="000000"/>
          <w:spacing w:val="0"/>
          <w:w w:val="100"/>
          <w:shd w:fill="auto" w:val="clear"/>
          <w:lang w:val="en-US" w:eastAsia="en-US" w:bidi="en-US"/>
        </w:rPr>
        <w:t>„</w:t>
      </w:r>
      <w:r>
        <w:rPr>
          <w:color w:val="000000"/>
          <w:spacing w:val="0"/>
          <w:w w:val="100"/>
          <w:shd w:fill="auto" w:val="clear"/>
          <w:lang w:val="en-US" w:eastAsia="en-US" w:bidi="en-US"/>
        </w:rPr>
        <w:t>An dieser Passage gibt es mehr zu beanstanden als den Versuch, eine Divergenz der Ideale zu überspielen. Erstens kann das Erziehungssystem von Emile niemals einen natürlichen Menschen hervorbringen; selbst wenn der natürliche Mensch jemals existiert hätte, hätte er keinen Erzieher haben können, ohne auf die Freiheit von Interaktionen zu verzichten, die sein charakteristisches Merkmal war. Zweitens ist der Staat Contrat keine natürliche Gesellschaft; nur die Familie wird so beschrieben.</w:t>
      </w:r>
    </w:p>
    <w:p>
      <w:pPr>
        <w:pStyle w:val="Flietext1"/>
        <w:keepNext w:val="false"/>
        <w:keepLines w:val="false"/>
        <w:widowControl w:val="false"/>
        <w:shd w:val="clear" w:color="auto" w:fill="auto"/>
        <w:bidi w:val="0"/>
        <w:spacing w:before="0" w:after="0"/>
        <w:ind w:left="0" w:right="0" w:firstLine="300"/>
        <w:jc w:val="both"/>
        <w:rPr/>
      </w:pPr>
      <w:r>
        <w:rPr>
          <w:i/>
          <w:iCs/>
          <w:color w:val="000000"/>
          <w:spacing w:val="0"/>
          <w:w w:val="100"/>
          <w:shd w:fill="auto" w:val="clear"/>
          <w:lang w:val="en-US" w:eastAsia="en-US" w:bidi="en-US"/>
        </w:rPr>
        <w:t>Es gibt eine signifikante anfängliche Oberflächenähnlichkeit zwischen Locke und Rousseau. Beide haben einen vorpolitischen Naturzustand, der eine umfassende Interaktion und Kooperation zulässt, so dass Institutionen wie Eigentum und Geld möglich sind; beide diskutieren den Gesellschaftsvertrag in Begriffen, die sicherstellen, dass die Sicherheit des Genusses zu derjenigen hinzukommt, die vorpolitische Individuen bereits besitzen. Beide haben einen ersten Vertrag, der Einstimmigkeit erfordert, gefolgt von einer anschließenden Mehrheitsentscheidung, und beide beschränken die „Regierung“ auf rein exekutive und administrative Funktionen. Darüber hinaus gehen sie stark auseinander; Lockes Mehrheit soll nur die verfassungsmäßige Form bestimmen, die die Regierung annehmen wird. Für ihn wird die Rechtsetzungsfähigkeit auf Gott im Naturzustand zurückgeschoben, und soweit es dem Einzelnen um Tugend geht, geschieht dies durch Festhalten an einem vorpolitischen Naturgesetz, das jedem Menschen ins Herz geschrieben ist. Für Rousseau liegt die ständige Gesetzgebungsbefugnis bei der Volksversammlung, und je wichtiger das Thema ist, desto näher sollte es der Einstimmigkeit kommen; Wo der Lockesche Staat existiert, um die Rechte des Individuums zu schützen, ist Rousseaus auf die Verwirklichung der Tugend und die Förderung des Gemeinwohls gerichtet. daher der Begriff, der Quelle und Rechtfertigung der Verpflichtung bei Rousseau ist: die volonte generale.</w:t>
      </w:r>
    </w:p>
    <w:p>
      <w:pPr>
        <w:pStyle w:val="Flietext1"/>
        <w:keepNext w:val="false"/>
        <w:keepLines w:val="false"/>
        <w:widowControl w:val="false"/>
        <w:shd w:val="clear" w:color="auto" w:fill="auto"/>
        <w:bidi w:val="0"/>
        <w:spacing w:before="0" w:after="280"/>
        <w:ind w:left="0" w:right="0" w:firstLine="300"/>
        <w:jc w:val="both"/>
        <w:rPr/>
      </w:pPr>
      <w:r>
        <w:rPr>
          <w:color w:val="000000"/>
          <w:spacing w:val="0"/>
          <w:w w:val="100"/>
          <w:shd w:fill="auto" w:val="clear"/>
          <w:lang w:val="en-US" w:eastAsia="en-US" w:bidi="en-US"/>
        </w:rPr>
        <w:t>Obwohl Superlative immer verdächtig sind, gehört die volonte generale sicherlich zu den am heißesten diskutierten politischen und philosophischen Konzepten. Auf dem Weg zur Erklärung dessen, was sie ist und wie sie sie verpflichtet, ist es sinnvoll, einige untergeordnete und damit nicht zusammenhängende Probleme beiseite zu räumen, von denen eines der wichtigsten die Frage der Freiheit ist. Rousseau betont ausdrücklich, dass der Mensch innerhalb des Gesellschaftsvertrags so frei bleibt wie zuvor;282 es gibt keinen Freiheitsverlust im bürgerlichen Zustand. Der Staat ist jedoch berechtigt, Zwang anzuwenden – Strafe und Hinrichtung werden ausdrücklich erwähnt. Ipso facto ist man, wenn man einem Zwang ausgesetzt ist, nicht so frei, wie man es ohne Zwang wäre. für einige, wie Crocker, macht sich Rousseau durch diese Manöver eines Betrugs schuldig:</w:t>
      </w:r>
    </w:p>
    <w:p>
      <w:pPr>
        <w:pStyle w:val="Flietext1"/>
        <w:keepNext w:val="false"/>
        <w:keepLines w:val="false"/>
        <w:widowControl w:val="false"/>
        <w:shd w:val="clear" w:color="auto" w:fill="auto"/>
        <w:bidi w:val="0"/>
        <w:spacing w:lineRule="auto" w:line="252" w:before="0" w:after="280"/>
        <w:ind w:left="260" w:right="0" w:firstLine="360"/>
        <w:jc w:val="both"/>
        <w:rPr/>
      </w:pPr>
      <w:r>
        <w:rPr>
          <w:color w:val="000000"/>
          <w:spacing w:val="0"/>
          <w:w w:val="100"/>
          <w:shd w:fill="auto" w:val="clear"/>
          <w:vertAlign w:val="superscript"/>
          <w:lang w:val="en-US" w:eastAsia="en-US" w:bidi="en-US"/>
        </w:rPr>
        <w:t>Wegen des demokratischen Charakters (weitaus mehr eine kultivierte Illusion als eine Realität) einiger seiner politischen Institutionen wurde Rousseau von Schriftstellern oft als Anhänger der Freiheit bezeichnet, die vernachlässigen, was er beabsichtigt, dem Einzelnen anzutun.283</w:t>
      </w:r>
    </w:p>
    <w:p>
      <w:pPr>
        <w:pStyle w:val="Flietext21"/>
        <w:keepNext w:val="false"/>
        <w:keepLines w:val="false"/>
        <w:widowControl w:val="false"/>
        <w:shd w:val="clear" w:color="auto" w:fill="auto"/>
        <w:bidi w:val="0"/>
        <w:spacing w:before="0" w:after="200"/>
        <w:ind w:left="0" w:right="0" w:firstLine="300"/>
        <w:jc w:val="both"/>
        <w:rPr/>
      </w:pPr>
      <w:r>
        <w:rPr>
          <w:color w:val="000000"/>
          <w:spacing w:val="0"/>
          <w:w w:val="100"/>
          <w:shd w:fill="auto" w:val="clear"/>
          <w:lang w:val="en-US" w:eastAsia="en-US" w:bidi="en-US"/>
        </w:rPr>
        <w:t>281 Als unvollständige Liste von Beispielen: Maritain, Three Reformers, p. 130; Broome, Rousseau, John McManners, „Der Gesellschaftsvertrag und Rousseaus Revolte gegen die Gesellschaft“, in Cranston &amp; Peters (Hrsg.), Hobbes und Rousseau, p. 814; Krocker, Rousseau.</w:t>
      </w:r>
    </w:p>
    <w:p>
      <w:pPr>
        <w:pStyle w:val="Flietext1"/>
        <w:keepNext w:val="false"/>
        <w:keepLines w:val="false"/>
        <w:widowControl w:val="false"/>
        <w:shd w:val="clear" w:color="auto" w:fill="auto"/>
        <w:bidi w:val="0"/>
        <w:spacing w:before="0" w:after="0"/>
        <w:ind w:left="0" w:right="0" w:hanging="0"/>
        <w:jc w:val="both"/>
        <w:rPr/>
      </w:pPr>
      <w:r>
        <w:rPr>
          <w:color w:val="000000"/>
          <w:spacing w:val="0"/>
          <w:w w:val="100"/>
          <w:shd w:fill="auto" w:val="clear"/>
          <w:lang w:val="en-US" w:eastAsia="en-US" w:bidi="en-US"/>
        </w:rPr>
        <w:t>Für andere, wie Sabine284, ist dies nur eine über die Pflicht hinausgehende Bemühung, insofern seine Akzeptanz, zu beweisen, dass die Individuen in der Gesellschaft so frei sind wie zuvor, eigentlich anderen egoistischeren Schriftstellern als ihm selbst obliegt. Tatsächlich basiert seine Verteidigung dieser These auf zwei wichtigen Schritten innerhalb seiner Argumentation. Erstens ist sein Gebrauch des Wortes Freiheit sehr präzise; seine Freiheit wird ausschließlich im Sinne der Freiheit von persönlicher Abhängigkeit,568 569 570 571 von der Notwendigkeit, sich auf andere Personen zu verlassen oder von ihnen abhängig zu sein, betrachtet. Bürgerliche Freiheit wird in Bezug auf die Unterwerfung unter die volonte generale572 definiert, und die Zivilgesellschaft wird empfohlen, natürliche Ungleichheit durch bürgerliche Gleichheit zu ersetzen.573 Einer der Grundsätze „(p)our ... donner la meilleur forme possible a la choose publique“ ist „que chaque citoyen soit dans une parfaite independance de tous les autres, et dans une Exzessivedependance de la eite “,268 und das Argument der „gezwungenen Freiheit“ wird mit der Frage verteidigt, dass man sich ganz seinem Land hingibt, als einzige Möglichkeit, die eigene Person zu garantieren Unabhängigkeit.269 Diese Betonung führt zur besonderen Natur von Rousseaus legitimem Staat. Die gesetzgebende Gewalt liegt bei der Volksversammlung,270 aber die Gesetze, die von einer solchen Körperschaft erlassen werden, müssen allgemein sein und können sich nicht auf bestimmte Personen oder Ereignisse beziehen.271 Eine rein exekutive „Regierung“ setzt diese Regeln dann durch, indem sie allgemeine Gesetze auf bestimmte Bereiche anwendet Ermessensbefugnisse. (Da Rousseaus Regierung rein gesetzesdurchsetzend und exekutiv ist, widerspricht seine Erklärung „S'il y avoit un peuple de dieux, il se gouvernait democratiquement. Un gouvernement si parfait ne convient pas a des hommes“272 nicht im geringsten seinem Beharren auf die Übertragung von gesetzgebenden Befugnissen auf eine Volksversammlung, obwohl eine oberflächliche Lektüre, die seine besondere Verwendung von „Regierung“ vergisst, diesen Eindruck erwecken könnte. ) Das Gesetz ist notwendigerweise unpersönlich (obwohl dies bei Rousseau nie kafkaeske Untertöne annimmt, seine eigenen Albträume haben einen ganz anderen Inhalt); Das Individuum ist frei, weil die Autorität des Gesetzes immer unpersönlich ist und die Unterwerfung unter die Gesetze die Prüfung der Unterwerfung unter persönliche Abhängigkeit von einem anderen Individuum ausschließt. Mabbott273 erklärt dies damit, dass er in den Beratungen, an denen der Einzelne selbst teilgenommen hat, einem Gesetz unterworfen ist; dies gibt falsche Untertöne, die eher der liberaldemokratischen Tradition entsprechen und lediglich in Rousseau eingeschmuggelt werden.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1"/>
        <w:keepNext w:val="false"/>
        <w:keepLines w:val="false"/>
        <w:widowControl w:val="false"/>
        <w:shd w:val="clear" w:color="auto" w:fill="auto"/>
        <w:bidi w:val="0"/>
        <w:spacing w:before="0" w:after="260"/>
        <w:ind w:left="0" w:right="0" w:firstLine="280"/>
        <w:jc w:val="both"/>
        <w:rPr/>
      </w:pPr>
      <w:r>
        <w:rPr>
          <w:color w:val="000000"/>
          <w:spacing w:val="0"/>
          <w:w w:val="100"/>
          <w:shd w:fill="auto" w:val="clear"/>
          <w:lang w:val="en-US" w:eastAsia="en-US" w:bidi="en-US"/>
        </w:rPr>
        <w:t>Die Frage der Freiheit von persönlicher Abhängigkeit ist ein sehr wichtiger Aspekt von Rousseaus Argumentation; es bietet die auffallendste Kontinuität zwischen Emile und Du Contrat Social. Die Auseinandersetzung mit Rousseaus Freiheitsgedanken verlangt aber auch eine Auseinandersetzung mit seinem Versprechen, dass in der legitimen Gesellschaft alle so frei sein werden wie bisher. Sobald man beginnt, über das Argument hinauszugehen, dass Freiheit nur in Bezug auf persönliche Unabhängigkeit gesehen wird, erscheint dieses Versprechen entweder trivial oder unmöglich; es scheint weniger eine Lösung des Freiheitsproblems als ein Abstecher ins Scheitern zu sein.</w:t>
      </w:r>
    </w:p>
    <w:p>
      <w:pPr>
        <w:pStyle w:val="Flietext21"/>
        <w:keepNext w:val="false"/>
        <w:keepLines w:val="false"/>
        <w:widowControl w:val="false"/>
        <w:shd w:val="clear" w:color="auto" w:fill="auto"/>
        <w:bidi w:val="0"/>
        <w:spacing w:lineRule="auto" w:line="240" w:before="0" w:after="0"/>
        <w:ind w:left="0" w:right="0" w:firstLine="260"/>
        <w:jc w:val="left"/>
        <w:rPr/>
      </w:pPr>
      <w:r>
        <w:rPr>
          <w:color w:val="000000"/>
          <w:spacing w:val="0"/>
          <w:w w:val="100"/>
          <w:shd w:fill="auto" w:val="clear"/>
          <w:lang w:val="en-US" w:eastAsia="en-US" w:bidi="en-US"/>
        </w:rPr>
        <w:t>288 Rousseau, Der Gesellschaftsvertrag, Bk. II, Kap. xii, p. 271.</w:t>
      </w:r>
    </w:p>
    <w:p>
      <w:pPr>
        <w:pStyle w:val="Flietext21"/>
        <w:keepNext w:val="false"/>
        <w:keepLines w:val="false"/>
        <w:widowControl w:val="false"/>
        <w:shd w:val="clear" w:color="auto" w:fill="auto"/>
        <w:bidi w:val="0"/>
        <w:spacing w:before="0" w:after="0"/>
        <w:ind w:left="0" w:right="0" w:firstLine="260"/>
        <w:jc w:val="left"/>
        <w:rPr/>
      </w:pPr>
      <w:r>
        <w:rPr>
          <w:color w:val="000000"/>
          <w:spacing w:val="0"/>
          <w:w w:val="100"/>
          <w:shd w:fill="auto" w:val="clear"/>
          <w:lang w:val="en-US" w:eastAsia="en-US" w:bidi="en-US"/>
        </w:rPr>
        <w:t>288 Rousseau, Der Gesellschaftsvertrag, Bk. Ich, Ch. VII, p. 248.</w:t>
      </w:r>
    </w:p>
    <w:p>
      <w:pPr>
        <w:pStyle w:val="Flietext21"/>
        <w:keepNext w:val="false"/>
        <w:keepLines w:val="false"/>
        <w:widowControl w:val="false"/>
        <w:numPr>
          <w:ilvl w:val="0"/>
          <w:numId w:val="25"/>
        </w:numPr>
        <w:shd w:val="clear" w:color="auto" w:fill="auto"/>
        <w:tabs>
          <w:tab w:val="clear" w:pos="720"/>
          <w:tab w:val="left" w:pos="650" w:leader="none"/>
        </w:tabs>
        <w:bidi w:val="0"/>
        <w:spacing w:lineRule="auto" w:line="220" w:before="0" w:after="0"/>
        <w:ind w:left="0" w:right="0" w:firstLine="260"/>
        <w:jc w:val="left"/>
        <w:rPr/>
      </w:pPr>
      <w:r>
        <w:rPr>
          <w:color w:val="000000"/>
          <w:spacing w:val="0"/>
          <w:w w:val="100"/>
          <w:shd w:fill="auto" w:val="clear"/>
          <w:lang w:val="en-US" w:eastAsia="en-US" w:bidi="en-US"/>
        </w:rPr>
        <w:t>Rousseau, Der Gesellschaftsvertrag, Bk. III, Kap. ich, p. 272.</w:t>
      </w:r>
    </w:p>
    <w:p>
      <w:pPr>
        <w:pStyle w:val="Flietext21"/>
        <w:keepNext w:val="false"/>
        <w:keepLines w:val="false"/>
        <w:widowControl w:val="false"/>
        <w:numPr>
          <w:ilvl w:val="0"/>
          <w:numId w:val="25"/>
        </w:numPr>
        <w:shd w:val="clear" w:color="auto" w:fill="auto"/>
        <w:tabs>
          <w:tab w:val="clear" w:pos="720"/>
          <w:tab w:val="left" w:pos="650" w:leader="none"/>
        </w:tabs>
        <w:bidi w:val="0"/>
        <w:spacing w:before="0" w:after="0"/>
        <w:ind w:left="0" w:right="0" w:firstLine="260"/>
        <w:jc w:val="left"/>
        <w:rPr/>
      </w:pPr>
      <w:r>
        <w:rPr>
          <w:color w:val="000000"/>
          <w:spacing w:val="0"/>
          <w:w w:val="100"/>
          <w:shd w:fill="auto" w:val="clear"/>
          <w:lang w:val="en-US" w:eastAsia="en-US" w:bidi="en-US"/>
        </w:rPr>
        <w:t>Rousseau, Aus dem Gesellschaftsvertrag, Bk. II, Kap. VI, S. 259-60.</w:t>
      </w:r>
    </w:p>
    <w:p>
      <w:pPr>
        <w:pStyle w:val="Flietext21"/>
        <w:keepNext w:val="false"/>
        <w:keepLines w:val="false"/>
        <w:widowControl w:val="false"/>
        <w:numPr>
          <w:ilvl w:val="0"/>
          <w:numId w:val="25"/>
        </w:numPr>
        <w:shd w:val="clear" w:color="auto" w:fill="auto"/>
        <w:tabs>
          <w:tab w:val="clear" w:pos="720"/>
          <w:tab w:val="left" w:pos="650" w:leader="none"/>
        </w:tabs>
        <w:bidi w:val="0"/>
        <w:spacing w:lineRule="auto" w:line="220" w:before="0" w:after="0"/>
        <w:ind w:left="0" w:right="0" w:firstLine="260"/>
        <w:jc w:val="left"/>
        <w:rPr/>
      </w:pPr>
      <w:r>
        <w:rPr>
          <w:color w:val="000000"/>
          <w:spacing w:val="0"/>
          <w:w w:val="100"/>
          <w:shd w:fill="auto" w:val="clear"/>
          <w:lang w:val="en-US" w:eastAsia="en-US" w:bidi="en-US"/>
        </w:rPr>
        <w:t>Rousseau, Der Gesellschaftsvertrag, Bk. III, Kap. iv, p. 281. 273</w:t>
      </w:r>
    </w:p>
    <w:p>
      <w:pPr>
        <w:pStyle w:val="Flietext21"/>
        <w:keepNext w:val="false"/>
        <w:keepLines w:val="false"/>
        <w:widowControl w:val="false"/>
        <w:numPr>
          <w:ilvl w:val="0"/>
          <w:numId w:val="25"/>
        </w:numPr>
        <w:shd w:val="clear" w:color="auto" w:fill="auto"/>
        <w:tabs>
          <w:tab w:val="clear" w:pos="720"/>
          <w:tab w:val="left" w:pos="650" w:leader="none"/>
        </w:tabs>
        <w:bidi w:val="0"/>
        <w:spacing w:before="0" w:after="200"/>
        <w:ind w:left="0" w:right="0" w:firstLine="260"/>
        <w:jc w:val="left"/>
        <w:rPr/>
      </w:pPr>
      <w:r>
        <w:rPr>
          <w:color w:val="000000"/>
          <w:spacing w:val="0"/>
          <w:w w:val="100"/>
          <w:shd w:fill="auto" w:val="clear"/>
          <w:lang w:val="en-US" w:eastAsia="en-US" w:bidi="en-US"/>
        </w:rPr>
        <w:t>Mabbott, Der Mensch und der Staat.</w:t>
      </w:r>
    </w:p>
    <w:p>
      <w:pPr>
        <w:pStyle w:val="Flietext1"/>
        <w:keepNext w:val="false"/>
        <w:keepLines w:val="false"/>
        <w:widowControl w:val="false"/>
        <w:shd w:val="clear" w:color="auto" w:fill="auto"/>
        <w:bidi w:val="0"/>
        <w:spacing w:before="0" w:after="260"/>
        <w:ind w:left="0" w:right="0" w:firstLine="280"/>
        <w:jc w:val="both"/>
        <w:rPr/>
      </w:pPr>
      <w:r>
        <w:rPr>
          <w:color w:val="000000"/>
          <w:spacing w:val="0"/>
          <w:w w:val="100"/>
          <w:shd w:fill="auto" w:val="clear"/>
          <w:lang w:val="en-US" w:eastAsia="en-US" w:bidi="en-US"/>
        </w:rPr>
        <w:t>Um die erste Möglichkeit zu betrachten, ist das Versprechen trivial. Es ist leicht, eine Form der menschlichen Vereinigung zu schaffen, die die Menschen im Innern so frei lässt wie vor dem Vertrag, weil die Position des Menschen vor dem Vertrag selbst keine Freiheit war. Es ist das bestimmende Merkmal jenes Stadiums unmittelbar vor dem Vertrag, dass der Mensch seine natürliche Freiheit bereits verloren hat, dass seine einsame Kraft nicht mehr ausreicht, um den Widerstand der Hindernisse zu seiner Erhaltung zu überwinden.274 Wenn der Mensch seine natürliche Freiheit nicht verloren hat, dann hat er überhaupt keinen Grund, mit anderen Menschen zusammenarbeiten zu wollen, geschweige denn eine so umfassende Zusammenarbeit einzugehen, dass es in seinem Interesse liegt, eine Zivilgesellschaft zu bilden, um sie zu regeln. Es ist in Teil I, Kap. vi, dass Rousseau sich selbst das Problem „so frei wie zuvor“ stellt; in Ch. vii Er erwähnt, dass, obwohl der Vertrag mehrere mögliche Segnungen hat, Missbrauch davon den Menschen sogar unter den Zustand degradieren kann, aus dem er hervorgegangen ist („les abus de cette nouvelle condition ...le degradoient souvent au-dessous de celle dont il est sorti“ ). 275 Die Formulierung ist lehrreich und impliziert keinerlei Lob der Bedingung „dont il est sorti“. Der Mensch hat bereits viel Glück und Freiheit verloren, die ein so wichtiger Teil des Naturzustands waren. Wenn Rousseau nun unternimmt, die Menschen so frei zu machen wie vor dem Vertrag, bezieht sich dies nicht auf die natürliche Freiheit (die verloren gehen musste, bevor das Problem des Gesellschaftsvertrags jemals entstehen konnte), sondern auf diesen unangenehmen Mittelzustand; und wenn man einwenden würde, dass man innerhalb der Gesellschaft keine natürliche Freiheit oder etwas Ähnliches genieße, wäre es sicherlich eine legitime Antwort, dass man zu der Zeit, als das Problem der Gesellschaft und des Vertrags gestellt wurde, auch keine natürliche Freiheit genoss. Daher ist das Unterfangen nach dieser Interpretation, wenn nicht trivial, dann sicherlich viel weniger ehrgeizig, als es den Anschein hat (und oft als solches akzeptiert wird).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21"/>
        <w:keepNext w:val="false"/>
        <w:keepLines w:val="false"/>
        <w:widowControl w:val="false"/>
        <w:numPr>
          <w:ilvl w:val="0"/>
          <w:numId w:val="25"/>
        </w:numPr>
        <w:shd w:val="clear" w:color="auto" w:fill="auto"/>
        <w:tabs>
          <w:tab w:val="clear" w:pos="720"/>
          <w:tab w:val="left" w:pos="645" w:leader="none"/>
        </w:tabs>
        <w:bidi w:val="0"/>
        <w:spacing w:lineRule="auto" w:line="240" w:before="0" w:after="0"/>
        <w:ind w:left="0" w:right="0" w:firstLine="260"/>
        <w:jc w:val="left"/>
        <w:rPr/>
      </w:pPr>
      <w:r>
        <w:rPr>
          <w:color w:val="000000"/>
          <w:spacing w:val="0"/>
          <w:w w:val="100"/>
          <w:shd w:fill="auto" w:val="clear"/>
          <w:lang w:val="en-US" w:eastAsia="en-US" w:bidi="en-US"/>
        </w:rPr>
        <w:t>Rousseau, Aus dem Gesellschaftsvertrag, Bk. I, Ch. vi, para. 2, p. 243.</w:t>
      </w:r>
    </w:p>
    <w:p>
      <w:pPr>
        <w:pStyle w:val="Flietext21"/>
        <w:keepNext w:val="false"/>
        <w:keepLines w:val="false"/>
        <w:widowControl w:val="false"/>
        <w:numPr>
          <w:ilvl w:val="0"/>
          <w:numId w:val="25"/>
        </w:numPr>
        <w:shd w:val="clear" w:color="auto" w:fill="auto"/>
        <w:tabs>
          <w:tab w:val="clear" w:pos="720"/>
          <w:tab w:val="left" w:pos="650" w:leader="none"/>
        </w:tabs>
        <w:bidi w:val="0"/>
        <w:spacing w:lineRule="auto" w:line="220" w:before="0" w:after="200"/>
        <w:ind w:left="0" w:right="0" w:firstLine="260"/>
        <w:jc w:val="both"/>
        <w:rPr/>
      </w:pPr>
      <w:r>
        <w:rPr>
          <w:color w:val="000000"/>
          <w:spacing w:val="0"/>
          <w:w w:val="100"/>
          <w:shd w:fill="auto" w:val="clear"/>
          <w:lang w:val="en-US" w:eastAsia="en-US" w:bidi="en-US"/>
        </w:rPr>
        <w:t>Rousseau, Aus dem Gesellschaftsvertrag, Bk. I, Ch. VIII, p. 247.</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Um die zweite Möglichkeit in Betracht zu ziehen, das Unterfangen ist absolut unmöglich, jenseits von Einfallsreichtum oder Kunstfertigkeit. Wenn wir davon ausgehen, dass Rousseau tatsächlich suggeriert, dass das Problem darin besteht, das Individuum in der Gesellschaft so frei zu machen wie in seinem natürlichen Zustand, dann hat er sich eine unmögliche Aufgabe gestellt; nicht in der Tat eine Art der Quadratur des Kreises (sein eigenes Beispiel), die logisch nicht unmöglich ist, sondern sich lediglich der tatsächlichen Lösung widersetzt hat, sondern eher eine Art der Zeichnung eines zweiseitigen Dreiecks. Um die Aufgabe zu erfüllen, müsste das Objekt verfälscht werden. Wie Rousseau formuliert, kann die bürgerliche Freiheit niemals mit der natürlichen Freiheit identisch sein, gerade weil die natürliche Freiheit eine so ideale und abstrakte Bedingung ist. Natürliche Freiheit ist so, dass keinerlei Anforderungen an das Individuum gestellt werden; seine Mittel übersteigen immer seine Wünsche, und er braucht nichts anderes zu tun als das, was ihm gefällt. Seine Qualitäten sind alle natürlich und spontan und werden ihm niemals durch eine externe Agentur entlockt, ganz besonders niemals durch ein anderes Individuum. Die besondere Qualität dieser natürlichen Freiheit besteht darin, dass sie ein völliges Fehlen menschlicher Interaktion beinhaltet; Natürliche Freiheit kann ihrer Natur nach nur eine Eigenschaft eines Menschen sein, der nie nennenswert mit anderen Menschen interagiert hat, und sie kann nur in Einsamkeit genossen werden. Sobald Interaktion ein Merkmal der Existenz eines Individuums ist, können wir nie sicher sein, ob seine Handlungen seiner eigenen Wesensnatur entsprechen oder ihm durch den Interaktionsprozess entlockt werden, der den Zweck seiner Konstruktion verfälschen soll Als abstraktes Konzept kann der natürliche Mensch nicht interagieren, ohne sich selbst zum „natürlichen Menschen plus etwas“ zu machen. „Aber der Staat, selbst der legitime Staat, existiert, um die Interaktion zu regulieren und zu systematisieren; für den Staat würde die Wiederherstellung der natürlichen Freiheit (neben der Beseitigung der Bedingungen individueller Unzulänglichkeit) bedeuten, alle Interaktionen zu eliminieren und unnötig zu machen, und damit würde der Staat sich selbst unmöglich machen. Der Vertrag von Hobbes, der Verträge bindend macht, ist eine Sache; Rousseaus Vertrag zur Wiederherstellung der Bedingungen, die alle Verträge unnötig und unmöglich machen, ist eine Entität auf einer völlig neuen Ebene der Absurdität. Wenn Rousseaus Versprechen als Verpflichtung zur Wiederherstellung der natürlichen Freiheit gelesen wird, dann ist es einfach inkohärent.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1"/>
        <w:keepNext w:val="false"/>
        <w:keepLines w:val="false"/>
        <w:widowControl w:val="false"/>
        <w:shd w:val="clear" w:color="auto" w:fill="auto"/>
        <w:bidi w:val="0"/>
        <w:spacing w:before="0" w:after="0"/>
        <w:ind w:left="0" w:right="0" w:firstLine="340"/>
        <w:jc w:val="both"/>
        <w:rPr/>
      </w:pPr>
      <w:r>
        <w:rPr>
          <w:color w:val="000000"/>
          <w:spacing w:val="0"/>
          <w:w w:val="100"/>
          <w:shd w:fill="auto" w:val="clear"/>
          <w:lang w:val="en-US" w:eastAsia="en-US" w:bidi="en-US"/>
        </w:rPr>
        <w:t>Die Lösung dieser Schwierigkeiten, würde ich vorschlagen, liegt in einer Betrachtung darüber, wie natürliche Freiheit diskutiert wird – das Versprechen von Teil I, Kap. vi wird ermöglicht, aber nicht trivial, weil die natürliche Freiheit zwar nicht in ihrer Gesamtheit wiederhergestellt werden kann, aber vielleicht in ihrem Wesen angegangen werden kann. Und seine Essenz, wie Rousseau es in Emile ausdrückt, ist, dass es jener Zustand ist, in dem das Individuum „ne veut que ce qu’il peut, et fait que ce qu’il lui plait“ ist. Die natürliche Freiheit als solche ist unwiederbringlich verloren; sie wurde zerstört durch das Auftreten individueller Unzulänglichkeiten, die eine Zusammenarbeit notwendig machten. Wenn der Einzelne nicht mehr ausreicht, übersteigen seine Wünsche seine Kräfte und es gilt nicht mehr, dass er „ne veut que ce qu'il peut“ sagt, weil es nun Dinge gibt, die er will oder sogar braucht, aber nicht ohne Hilfe erreichen kann. Weil jetzt Kooperation notwendig ist, kann es nicht sein, dass er „fait ce qu'il lui plait“ ; er kooperiert nicht, weil ihm die konkrete Handlung der Kooperation gefällt, sondern weil er muss, und also zumindest gelegentlich das tun muss, was ihm nicht gefällt, sondern von der Kooperation verlangt wird. Auch bleibt eine solche Zusammenarbeit nicht nur eine äußere Kontingenz; Kooperation und Interaktion ergeben nicht den „natürlichen“ Menschen, der natürliche Freiheit genießen kann, sondern „natürlichen Menschen plus etwas“ – sie erzeugen neue Wünsche und neue Begierden im kooperierenden Individuum. Aber die Zwänge der Interaktion und die Anforderungen dieser neuen Wünsche bringen den Menschen noch weiter von dem Zustand weg, der als natürliche oder wahre Freiheit beschrieben wird; Er verlangt neue Dinge, die noch weiter über seine Kräfte hinausgehen, und fühlt eine weitere Spannung zwischen seinen Verpflichtungen und seinen Vergnügungen. Der Mensch ist jetzt nicht nur unfrei, sondern unglücklich.</w:t>
      </w:r>
    </w:p>
    <w:p>
      <w:pPr>
        <w:pStyle w:val="Flietext1"/>
        <w:keepNext w:val="false"/>
        <w:keepLines w:val="false"/>
        <w:widowControl w:val="false"/>
        <w:shd w:val="clear" w:color="auto" w:fill="auto"/>
        <w:bidi w:val="0"/>
        <w:spacing w:before="0" w:after="0"/>
        <w:ind w:left="0" w:right="0" w:firstLine="340"/>
        <w:jc w:val="both"/>
        <w:rPr/>
      </w:pPr>
      <w:r>
        <w:rPr>
          <w:color w:val="000000"/>
          <w:spacing w:val="0"/>
          <w:w w:val="100"/>
          <w:shd w:fill="auto" w:val="clear"/>
          <w:lang w:val="en-US" w:eastAsia="en-US" w:bidi="en-US"/>
        </w:rPr>
        <w:t>Bürgerliche Freiheit, Freiheit innerhalb der Gesetze und innerhalb des freiwilligen Gens; Regel wird das Problem als solches nicht lösen, wenn die Gesetze nur die Interaktion regeln, denn es ist die Tatsache der Interaktion, nicht ihre Einzelheiten, die die natürliche Freiheit unmöglich macht. Die Gesetze müssen weiter gehen – sie müssen die Menschen neu erschaffen. Sie müssen seine Bedürfnisse und Wünsche ändern, so dass seine Bedürfnisse seine Fähigkeiten nicht mehr überschreiten und seine Verpflichtungen mit seinen reformierten Wünschen übereinstimmen. (Mit anderen Worten, man arbeitet, indem man die Wünsche und Begierden des modernen Menschen ausschneidet, indem man einen Teil des zeitgenössischen Menschen aussondert, um einen tugendhaften Menschen zu schaffen. Das Bild sowie die Stimmung und der Zweck, die es ausdrückt, erinnern lebhaft an die Metapher des Gärtners in Platons Republik, Buch IV.276) Kants moralisches Individuum ist in diesem Sinne die vollständigste Antithese zu Rousseaus Unterfangen – weit entfernt von einer Koinzidenz zwischen Lust und Pflicht, weigert sich Kant zuzugeben, dass jede Handlung, die der individuellen Lust entspricht, vollständig moralisch sein kann. Was Rousseau zu schaffen versucht, ist eine Gesellschaft von Individuen mit vollkommenem Willen.</w:t>
      </w:r>
    </w:p>
    <w:p>
      <w:pPr>
        <w:pStyle w:val="Flietext1"/>
        <w:keepNext w:val="false"/>
        <w:keepLines w:val="false"/>
        <w:widowControl w:val="false"/>
        <w:shd w:val="clear" w:color="auto" w:fill="auto"/>
        <w:bidi w:val="0"/>
        <w:spacing w:before="0" w:after="0"/>
        <w:ind w:left="0" w:right="0" w:firstLine="340"/>
        <w:jc w:val="both"/>
        <w:rPr/>
      </w:pPr>
      <w:r>
        <w:rPr>
          <w:color w:val="000000"/>
          <w:spacing w:val="0"/>
          <w:w w:val="100"/>
          <w:shd w:fill="auto" w:val="clear"/>
          <w:lang w:val="en-US" w:eastAsia="en-US" w:bidi="en-US"/>
        </w:rPr>
        <w:t>Nachdem seine Begierden und Wünsche mit seinen neuen Kräften und Pflichten in Einklang gebracht wurden, können wir den Menschen erneut mit den gleichen Begriffen beschreiben, die auf die natürliche oder wahre Freiheit angewendet werden – „l'homme ne veut que ce qu'il peut, et fait ce qu'il lui plai;t“. Aber auch diese neue Freiheit ist nicht dasselbe wie natürliche Freiheit. Man hat Verpflichtungen im legitimen bürgerlichen Zustand, die im natürlichen Zustand völlig fehlen, und noch wichtiger, man hat Fähigkeiten in der legitimen Gesellschaft, die über die des natürlichen Zustands hinausgehen – insbesondere und am wichtigsten, der Mensch in der Gesellschaft besitzt Vernunft und zumindest das Potenzial für Moral und Tugend im Gegensatz zur natürlichen Güte des natürlichen Menschen.</w:t>
      </w:r>
    </w:p>
    <w:p>
      <w:pPr>
        <w:pStyle w:val="Flietext1"/>
        <w:keepNext w:val="false"/>
        <w:keepLines w:val="false"/>
        <w:widowControl w:val="false"/>
        <w:shd w:val="clear" w:color="auto" w:fill="auto"/>
        <w:bidi w:val="0"/>
        <w:spacing w:before="0" w:after="240"/>
        <w:ind w:left="0" w:right="0" w:firstLine="340"/>
        <w:jc w:val="both"/>
        <w:rPr/>
      </w:pPr>
      <w:r>
        <w:rPr>
          <w:color w:val="000000"/>
          <w:spacing w:val="0"/>
          <w:w w:val="100"/>
          <w:shd w:fill="auto" w:val="clear"/>
          <w:lang w:val="en-US" w:eastAsia="en-US" w:bidi="en-US"/>
        </w:rPr>
        <w:t>Rousseau ist in gewisser Weise Stoiker – wie die Stoiker, die Unglück als Produkt unnötiger Begierden ansehen, empfiehlt er, dass man nach Glück strebt, indem man diese Begierden unterdrückt, außer dass diese Unterdrückung für ihn kein Ausdruck individueller Selbstbeherrschung ist, sondern ein Produkt des gesellschaftlichen Wandels. Wie Plamenatz es ausdrückt, ist Rousseau über die Stoiker hinausgegangen, um zu fragen, in welcher Art von Gesellschaft der Mensch die Wünsche haben wird, die es ihm ermöglichen, glücklich zu sein.277 Gleichheit gehört dazu, ebenso wie patriotischer Eifer. So gesehen macht es in der Tat Sinn, gezwungen zu sein, frei zu sein, und dies in einem weniger brutalen und offen totalitären Sinne, als es normalerweise angenommen wird (was natürlich nicht heißt, dass eine Gesellschaft, die wir als ziemlich totalitär ansehen würden, dies nicht tun könnte ein wichtiger Teil davon sein; was „zur Freiheit gezwungen“ jedoch nicht ist, ist einfache Diktatur). Man wird gezwungen, frei zu sein, wenn man sich verpflichtet, anderen ungleich zu sein, aber gewaltsam daran gehindert wird; so fasst Plamenatz diese Bergungsaktion zusammen, aber das ist nur der negative Aspekt davon. Da die Freiheit diese psychologische Dimension hat („il ne veut que ce qu'il peut et fait ce qu'il lui plait), ist man auch gezwungen, frei zu sein, wenn man daran gehindert wird, einen Appetit zu entwickeln, der dieses Gleichgewicht stören würde, oder sich einer Form der Interaktion hinzugeben, die einen solchen Appetit hervorrufen könnte. Chapman ist nahe daran, dasselbe zu sagen, wenn er argumentiert, dass „der Mensch nach Macht strebt. Aber Macht zerstört die moralische Freiheit aller Parteien der Beziehung. Aus Rousseaus Sicht bedeutet es, eine Person daran zu hindern, Macht zu erlangen, diese Person zu zwingen, frei zu sein. “ Dies geschieht, indem der Gemeinschaft alle Macht gegeben wird – so weit, so gut; aber dann fährt er fort: „Wenn wir uns ansehen, was Rousseau zu sagen beabsichtigt und seinen eigentümlichen Gebrauch des Wortes ‚frei' außer Acht lässt, sieht man, dass er die Unterordnung des Individuums unter die Gesellschaft weder beabsichtigt noch erreicht.“278 Das ist viel schwerer zu verteidigen; eine solche Angleichung Rousseaus an liberale demokratische Prämissen verweigert ihm einfach die Einsichten in die Wechselwirkung zwischen individueller psychologischer Veranlagung und Staatsform, die ein so wichtiger Teil seines Beitrags zur politischen Philosophie sind. Das Individuum, das Rousseau zu erfüllen sucht, ist nicht das exzentrische, einzigartige soziale Atom der liberalen Mythologie, sondern der „natürliche“ Mensch in uns allen. Rousseau kann niemals unverzerrt in die liberal-demokratische Tradition aufgenommen werden, denn während sich der liberale Staat nur mit den äußeren Handlungen seiner Bürger befassen kann, beinhaltet die gesamte Implikation seines Staatsbegriffs notwendigerweise eine politische Beschäftigung mit den inneren Einzelheiten ihrer Bürger Psychen.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21"/>
        <w:keepNext w:val="false"/>
        <w:keepLines w:val="false"/>
        <w:widowControl w:val="false"/>
        <w:numPr>
          <w:ilvl w:val="0"/>
          <w:numId w:val="25"/>
        </w:numPr>
        <w:shd w:val="clear" w:color="auto" w:fill="auto"/>
        <w:tabs>
          <w:tab w:val="clear" w:pos="720"/>
          <w:tab w:val="left" w:pos="650" w:leader="none"/>
        </w:tabs>
        <w:bidi w:val="0"/>
        <w:spacing w:lineRule="auto" w:line="240" w:before="0" w:after="0"/>
        <w:ind w:left="0" w:right="0" w:firstLine="260"/>
        <w:jc w:val="left"/>
        <w:rPr/>
      </w:pPr>
      <w:r>
        <w:rPr>
          <w:color w:val="000000"/>
          <w:spacing w:val="0"/>
          <w:w w:val="100"/>
          <w:shd w:fill="auto" w:val="clear"/>
          <w:lang w:val="en-US" w:eastAsia="en-US" w:bidi="en-US"/>
        </w:rPr>
        <w:t>Plato, Republik, IX, 589.</w:t>
      </w:r>
    </w:p>
    <w:p>
      <w:pPr>
        <w:pStyle w:val="Flietext21"/>
        <w:keepNext w:val="false"/>
        <w:keepLines w:val="false"/>
        <w:widowControl w:val="false"/>
        <w:numPr>
          <w:ilvl w:val="0"/>
          <w:numId w:val="25"/>
        </w:numPr>
        <w:shd w:val="clear" w:color="auto" w:fill="auto"/>
        <w:tabs>
          <w:tab w:val="clear" w:pos="720"/>
          <w:tab w:val="left" w:pos="650" w:leader="none"/>
        </w:tabs>
        <w:bidi w:val="0"/>
        <w:spacing w:lineRule="auto" w:line="220" w:before="0" w:after="240"/>
        <w:ind w:left="0" w:right="0" w:firstLine="260"/>
        <w:jc w:val="left"/>
        <w:rPr/>
      </w:pPr>
      <w:r>
        <w:rPr>
          <w:color w:val="000000"/>
          <w:spacing w:val="0"/>
          <w:w w:val="100"/>
          <w:shd w:fill="auto" w:val="clear"/>
          <w:lang w:val="en-US" w:eastAsia="en-US" w:bidi="en-US"/>
        </w:rPr>
        <w:t>Plamenatz, „He Will Be Forced to Be Free“, in Cranston &amp; Peters, S. 327.</w:t>
      </w:r>
    </w:p>
    <w:p>
      <w:pPr>
        <w:pStyle w:val="Flietext1"/>
        <w:keepNext w:val="false"/>
        <w:keepLines w:val="false"/>
        <w:widowControl w:val="false"/>
        <w:shd w:val="clear" w:color="auto" w:fill="auto"/>
        <w:bidi w:val="0"/>
        <w:spacing w:before="0" w:after="260"/>
        <w:ind w:left="0" w:right="0" w:firstLine="280"/>
        <w:jc w:val="both"/>
        <w:rPr/>
      </w:pPr>
      <w:r>
        <w:rPr>
          <w:color w:val="000000"/>
          <w:spacing w:val="0"/>
          <w:w w:val="100"/>
          <w:shd w:fill="auto" w:val="clear"/>
          <w:lang w:val="en-US" w:eastAsia="en-US" w:bidi="en-US"/>
        </w:rPr>
        <w:t>Da der Staat als eine Art psychischer Polizist angesehen wird, wirft dies ein etwas anderes Licht auf die früh in der Arbeit aufgestellte Behauptung, dass die community/volonte generale ihren Mitgliedern nicht schaden könne.279 Diese Aussage funktioniert auf verschiedene Weise. Erstens und am offensichtlichsten scheint es als Zuckerbrot für diejenigen zu fungieren, die zögern, bevor sie in den pseudohistorischen Bericht aufgenommen werden. Zweitens ist es eine Einschränkung der Regierungsbefugnisse, aber dieser Aspekt wird schnell so stark ausgehöhlt, dass es irreführend ist, ihn zu betonen. Drittens ist es so etwas wie eine Binsenweisheit – ein Mann zerschmettert (normalerweise) nicht freiwillig seine eigene Hand – und dies scheint der Ton zu sein, mit dem es angeboten wird. Viertens, und das ist das Wichtigste, wird es zu einer Definition, und an diesem Punkt verschwindet der Begrenzungsaspekt, der so schnell von denen aufgegriffen wird, die Rousseau als liberalen Demokraten sehen wollen, einfach. Die Idee, dass die volonte generale nichts tun kann, um den Mitgliedern der Gemeinschaft zu schaden, ist umkehrbar, wie es alle gültigen Definitionen sein müssen, und wird zum Grundsatz, dass nichts, was die volonte generale ihren Mitgliedern tut, möglicherweise ein Schaden sein könnte. Weit davon entfernt, eine Einschränkung des politischen Handelns zu sein, verbindet sich der Vorschlag nahtlos mit dem Argument der Freiheit, Handlungen des Staates zu rechtfertigen, die die Aktivitäten seiner Bürger einschränken. Bevor wir über die Angelegenheit nachdenken, könnten wir denken, dass es eine prima facie Verletzung ist, wenn der Staat uns hinrichtet oder an die Galeeren kettet, aber sobald wir wissen, was die volonte generale ist, wird es offensichtlich, dass wir sie haben müssen falsch gewesen. „Verletzung“ wird wie „Freiheit“ im Einklang mit der volonte generale definiert, was wiederum die zentrale Bedeutung dieses Konzepts für seine politische Philosophie betont.</w:t>
      </w:r>
    </w:p>
    <w:p>
      <w:pPr>
        <w:pStyle w:val="Flietext21"/>
        <w:keepNext w:val="false"/>
        <w:keepLines w:val="false"/>
        <w:widowControl w:val="false"/>
        <w:numPr>
          <w:ilvl w:val="0"/>
          <w:numId w:val="25"/>
        </w:numPr>
        <w:shd w:val="clear" w:color="auto" w:fill="auto"/>
        <w:tabs>
          <w:tab w:val="clear" w:pos="720"/>
          <w:tab w:val="left" w:pos="650" w:leader="none"/>
        </w:tabs>
        <w:bidi w:val="0"/>
        <w:spacing w:lineRule="auto" w:line="240" w:before="0" w:after="0"/>
        <w:ind w:left="0" w:right="0" w:firstLine="260"/>
        <w:jc w:val="both"/>
        <w:rPr/>
      </w:pPr>
      <w:r>
        <w:rPr>
          <w:color w:val="000000"/>
          <w:spacing w:val="0"/>
          <w:w w:val="100"/>
          <w:shd w:fill="auto" w:val="clear"/>
          <w:lang w:val="en-US" w:eastAsia="en-US" w:bidi="en-US"/>
        </w:rPr>
        <w:t>Chapman, Rousseau, S. 39.</w:t>
      </w:r>
    </w:p>
    <w:p>
      <w:pPr>
        <w:pStyle w:val="Flietext21"/>
        <w:keepNext w:val="false"/>
        <w:keepLines w:val="false"/>
        <w:widowControl w:val="false"/>
        <w:numPr>
          <w:ilvl w:val="0"/>
          <w:numId w:val="25"/>
        </w:numPr>
        <w:shd w:val="clear" w:color="auto" w:fill="auto"/>
        <w:tabs>
          <w:tab w:val="clear" w:pos="720"/>
          <w:tab w:val="left" w:pos="650" w:leader="none"/>
        </w:tabs>
        <w:bidi w:val="0"/>
        <w:spacing w:before="0" w:after="200"/>
        <w:ind w:left="0" w:right="0" w:firstLine="260"/>
        <w:jc w:val="both"/>
        <w:rPr/>
      </w:pPr>
      <w:r>
        <w:rPr>
          <w:color w:val="000000"/>
          <w:spacing w:val="0"/>
          <w:w w:val="100"/>
          <w:shd w:fill="auto" w:val="clear"/>
          <w:lang w:val="en-US" w:eastAsia="en-US" w:bidi="en-US"/>
        </w:rPr>
        <w:t>Rousseau, Der Gesellschaftsvertrag, Bk. Ich, Ch. VII, p. 245</w:t>
      </w:r>
    </w:p>
    <w:p>
      <w:pPr>
        <w:pStyle w:val="Flietext1"/>
        <w:keepNext w:val="false"/>
        <w:keepLines w:val="false"/>
        <w:widowControl w:val="false"/>
        <w:shd w:val="clear" w:color="auto" w:fill="auto"/>
        <w:bidi w:val="0"/>
        <w:spacing w:before="0" w:after="220"/>
        <w:ind w:left="0" w:right="0" w:firstLine="280"/>
        <w:jc w:val="both"/>
        <w:rPr/>
      </w:pPr>
      <w:r>
        <w:rPr>
          <w:i/>
          <w:iCs/>
          <w:color w:val="000000"/>
          <w:spacing w:val="0"/>
          <w:w w:val="100"/>
          <w:shd w:fill="auto" w:val="clear"/>
          <w:lang w:val="de-DE" w:eastAsia="de-DE" w:bidi="de-DE"/>
        </w:rPr>
        <w:t>Freiheit ist ein Problem im Zusammenhang mit der volonte generale, das manchmal das Verständnis dieses Konzepts erschwert; Majoritarismus ist eine andere. Offensichtlich ist die volonte generale nicht völlig losgelöst von der Mehrheitsentscheidung – Rousseau überträgt gesetzgebende Befugnisse in eine Volksversammlung568, wobei die Regierung eine rein exekutive Funktion hat281, und das Volk kann sein Recht, über die volonte generale zu entscheiden, nicht abgeben, ohne sich dadurch als Volk aufzulösen. 282 Er erklärt: „Pour qu'une volonte soit generale ... it est necessaire que toutes les voix soient comptees; toute Exclusion formelle rompt la generalite“283 Aber beides lässt sich auch nicht vollständig verschmelzen; er stellt auch fest, dass „ce qui generalize la volonte est moins le nombre des voix que l'interet commun qui les unit.“284 Die volonte generale hat etwas mit Majoritarismus zu tun, aber es ist nicht Majoritarismus tout court. Broomes unaufrichtiger Versuch, die oft falsch übersetzte Bemerkung „la volonte generale est toujours droite“285 so zu erklären, dass er impliziert, „dass die Menschen als Ganzes immer Recht haben“ und eigentlich „auf ziemlich umständliche Weise seinen Glauben an das Wesen des Guten“ wiederholt der menschlichen Natur“286 ist völlig nebensächlich, die volonte generale reduziert sich nie auf vox populi. Das Problem kann teilweise gelöst werden, indem erneut auf die Unterscheidung „zwei Verträge“ verwiesen wird. Es gibt zwei radikal unterschiedliche Gesellschaften, die aus zwei unterschiedlichen Verträgen resultieren. Der erste Vertrag, der des Deuxieme discours, führt zu einer zeitgenössischen korrumpierten Gesellschaft, und in einer solchen Situation hat die Mehrheitsentscheidung wahrscheinlich keine notwendige Verbindung mit der volonte generale. Der zweite Vertrag, der gereinigte Vertrag von Du Contrat Social, schafft eine legitime Gesellschaft, in der eine Volksversammlung unter bestimmten Bedingungen als zuverlässiger Indikator für die volonte generale akzeptiert werden kann. Nicht die Volksversammlung, sondern die Volksversammlung unter ganz bestimmten Bedingungen gibt ein Urteil ab, das der volonte generale nahekommt; die Untersuchung dessen, was diese Bedingungen sind, wird offensichtlich auf weitere Attribute der volonte hinweisen.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21"/>
        <w:keepNext w:val="false"/>
        <w:keepLines w:val="false"/>
        <w:widowControl w:val="false"/>
        <w:numPr>
          <w:ilvl w:val="0"/>
          <w:numId w:val="26"/>
        </w:numPr>
        <w:shd w:val="clear" w:color="auto" w:fill="auto"/>
        <w:tabs>
          <w:tab w:val="clear" w:pos="720"/>
          <w:tab w:val="left" w:pos="640" w:leader="none"/>
        </w:tabs>
        <w:bidi w:val="0"/>
        <w:spacing w:lineRule="auto" w:line="240" w:before="0" w:after="0"/>
        <w:ind w:left="0" w:right="0" w:firstLine="260"/>
        <w:jc w:val="both"/>
        <w:rPr/>
      </w:pPr>
      <w:r>
        <w:rPr>
          <w:color w:val="000000"/>
          <w:spacing w:val="0"/>
          <w:w w:val="100"/>
          <w:shd w:fill="auto" w:val="clear"/>
          <w:lang w:val="en-US" w:eastAsia="en-US" w:bidi="en-US"/>
        </w:rPr>
        <w:t>Rousseau, Der Gesellschaftsvertrag, Bk. III, Kap. ich, p. 278.</w:t>
      </w:r>
    </w:p>
    <w:p>
      <w:pPr>
        <w:pStyle w:val="Flietext21"/>
        <w:keepNext w:val="false"/>
        <w:keepLines w:val="false"/>
        <w:widowControl w:val="false"/>
        <w:numPr>
          <w:ilvl w:val="0"/>
          <w:numId w:val="26"/>
        </w:numPr>
        <w:shd w:val="clear" w:color="auto" w:fill="auto"/>
        <w:tabs>
          <w:tab w:val="clear" w:pos="720"/>
          <w:tab w:val="left" w:pos="640" w:leader="none"/>
        </w:tabs>
        <w:bidi w:val="0"/>
        <w:spacing w:lineRule="auto" w:line="220" w:before="0" w:after="200"/>
        <w:ind w:left="0" w:right="0" w:firstLine="260"/>
        <w:jc w:val="both"/>
        <w:rPr/>
      </w:pPr>
      <w:r>
        <w:rPr>
          <w:color w:val="000000"/>
          <w:spacing w:val="0"/>
          <w:w w:val="100"/>
          <w:shd w:fill="auto" w:val="clear"/>
          <w:lang w:val="en-US" w:eastAsia="en-US" w:bidi="en-US"/>
        </w:rPr>
        <w:t>Rousseau, Aus dem Gesellschaftsvertrag, Bk. TI, Kapitel i, p. 250.</w:t>
      </w:r>
    </w:p>
    <w:p>
      <w:pPr>
        <w:pStyle w:val="Flietext1"/>
        <w:keepNext w:val="false"/>
        <w:keepLines w:val="false"/>
        <w:widowControl w:val="false"/>
        <w:shd w:val="clear" w:color="auto" w:fill="auto"/>
        <w:bidi w:val="0"/>
        <w:spacing w:before="0" w:after="260"/>
        <w:ind w:left="0" w:right="0" w:firstLine="280"/>
        <w:jc w:val="both"/>
        <w:rPr/>
      </w:pPr>
      <w:r>
        <w:rPr>
          <w:color w:val="000000"/>
          <w:spacing w:val="0"/>
          <w:w w:val="100"/>
          <w:shd w:fill="auto" w:val="clear"/>
          <w:lang w:val="en-US" w:eastAsia="en-US" w:bidi="en-US"/>
        </w:rPr>
        <w:t>Als erstes und wichtigstes muss das Volk ausreichend gebildet und informiert werden – die volonte generale kann niemals zerstört werden287, aber sie kann zum Schweigen gebracht und unwirksam gemacht werden, wenn das Volk getäuscht wird.288 Das hat einen schönen liberal-demokratischen Klang, aber Rousseau gibt es es eine andere Wendung. Sein wiederkehrendes Bild zeigt Paysans unter einer Eiche, die den Staat regiert,289 und da seine Premiere Discours ein Angriff auf die Künste und Wissenschaften war, scheint es, dass die Erziehung, die er im Sinn hat, ebenso darin besteht, nicht falsch erzogen zu werden, wie im Positiven intellektuelle Verbesserung. Eine Schlüsselfigur in dieser Erziehung ist dieser rätselhafte Protagonist, der Gesetzgeber, der Gegenstand vieler Befürchtungen und Missverständnisse ist. Der Gesetzgeber scheint am besten als Rousseaus großes Zugeständnis an das Realitätsprinzip verstanden zu werden – die Lösung (wenn auch eine halbherzige und ziemlich schwache) für die Kluft zwischen der „ist“-Gesellschaft/Vertrag und der „sollte“-Gesellschaft/Vertrag. Wie Plato (eine der bedeutendsten seiner intellektuellen Quellen)290 hat sich Rousseau in eine Art Ecke gestellt; Wenn der Mensch hinsichtlich der ethischen und moralischen Statur, die er erreichen kann, so abhängig von seinem institutionellen Umfeld ist und wenn der gegenwärtige institutionelle Rahmen so korrupt und so unvollkommen ist, wie ist dann eine moralische Erneuerung möglich? Als Lösung präsentiert Rousseau einen fast gottähnlichen Legislateur, dessen Ursprünge unbekannt und ungeklärt sind, eine Deus-ex-machina-Lösung nach dem Vorbild von Platons Gründungsphilosophenkönigen. Wir wissen nicht, woher sie kommen, aber wenn sie nicht zufällig auftauchen, ist das Ballspiel bereits vorbei. Dieser Gesetzgeber soll, wenn nötig, durch den Einsatz von Ausflüchten und edlen Lügen die notwendige Transformation des institutionellen und rechtlichen Rahmens herbeiführen, die den Komplex von Begierden und Wünschen und Pflichten hervorbringen wird, die für ein gutes und tugendhaftes Leben notwendig sind. Obwohl einige diese Figur als Prototyp für Lenin oder Napoleon oder Hitler ansehen, ist der Gesetzgeber eher der anfängliche Verfasser des guten Rechts als ein fortwährender Herrscher – Napoleon war eher der Kodifizierer des französischen Rechts als Napoleon der Kaiser. Die Position des Legislateur „n'est point magistrature, c n'est point souverainete.“291 Er ist eine Figur, die in der Verfassung nicht vorgesehen ist, aus dem einfachen Grund, dass ohne ihn eine Verfassung nicht möglich ist, und sobald eine Verfassung ist möglicherweise hat er seine Arbeit getan und wird daher nicht mehr benötigt. (Shklar292 und Crocker293 bestehen auf der Notwendigkeit der ständigen Präsenz und Autorität des Gesetzgebers als Analogon zu Wolmar bei Clarens in Nouvelle Heloise; obwohl ihr Argument nicht ohne Weiteres zurückgewiesen werden kann, ist die Vergänglichkeit des unmittelbaren Einflusses des Gesetzgebers die sicherste Garantie gegen seine Degeneration zur Tyrannei ist, würde das Vertrauen des Bürgers auf irgendjemanden, einschließlich des Gesetzgebers, die sehr persönliche Abhängigkeit darstellen, die Rousseau vermeiden möchte, und die sehr persönliche Abhängigkeit darstellen, die Rousseau vermeiden möchte, und es würde für Rousseau nicht widersprüchlich erscheinen mehr Vertrauen in den souveränen Staat zu haben als in eine so partielle Gesellschaft wie Wolmars Clarens. Daher entscheide ich mich dafür, Rousseau bei seiner Arbeit zu nehmen und die Autorität des Gesetzgebers auf die Einrichtung und Annahme eines legitimen Vertrags und einer Verfassung zu beschränken.) Seine Bemühungen ist eine einmalige Arbeit. Es ist von entscheidender Bedeutung, dass sich Rousseau selbst nicht auf platonische Philosophenkönige bezieht, diese Verfassungsgeber in Residenz, sondern auf mythische Gestalten wie Lykurg, der „commenca par abdiquer la royaute“294. Der Erfolg einer solchen Operation ist offensichtlich unmöglich zu prognostizieren, und die Chancen stehen dagegen; Es bedarf nicht nur eines einzigartigen Individuums mit wirklich außergewöhnlichen Leistungen („Il faudroit des dieux pour donner des lois aux hommes“)295, sondern selbst er kann nur wirksam sein, wenn die Zeit reif ist. Und die Zeit war nicht reif in Frankreich, aber das ist wieder vorwegzunehmen.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21"/>
        <w:keepNext w:val="false"/>
        <w:keepLines w:val="false"/>
        <w:widowControl w:val="false"/>
        <w:numPr>
          <w:ilvl w:val="0"/>
          <w:numId w:val="26"/>
        </w:numPr>
        <w:shd w:val="clear" w:color="auto" w:fill="auto"/>
        <w:tabs>
          <w:tab w:val="clear" w:pos="720"/>
          <w:tab w:val="left" w:pos="700" w:leader="none"/>
        </w:tabs>
        <w:bidi w:val="0"/>
        <w:spacing w:lineRule="auto" w:line="189" w:before="0" w:after="0"/>
        <w:ind w:left="0" w:right="0" w:firstLine="260"/>
        <w:jc w:val="both"/>
        <w:rPr/>
      </w:pPr>
      <w:r>
        <w:rPr>
          <w:color w:val="000000"/>
          <w:spacing w:val="0"/>
          <w:w w:val="100"/>
          <w:shd w:fill="auto" w:val="clear"/>
          <w:lang w:val="en-US" w:eastAsia="en-US" w:bidi="en-US"/>
        </w:rPr>
        <w:t>Rousseau, Der Gesellschaftsvertrag, Bk. II, Kap. ich, fn, s. 250.</w:t>
      </w:r>
    </w:p>
    <w:p>
      <w:pPr>
        <w:pStyle w:val="Flietext21"/>
        <w:keepNext w:val="false"/>
        <w:keepLines w:val="false"/>
        <w:widowControl w:val="false"/>
        <w:numPr>
          <w:ilvl w:val="0"/>
          <w:numId w:val="26"/>
        </w:numPr>
        <w:shd w:val="clear" w:color="auto" w:fill="auto"/>
        <w:tabs>
          <w:tab w:val="clear" w:pos="720"/>
          <w:tab w:val="left" w:pos="700" w:leader="none"/>
        </w:tabs>
        <w:bidi w:val="0"/>
        <w:spacing w:lineRule="auto" w:line="189" w:before="0" w:after="0"/>
        <w:ind w:left="0" w:right="0" w:firstLine="260"/>
        <w:jc w:val="both"/>
        <w:rPr/>
      </w:pPr>
      <w:r>
        <w:rPr>
          <w:color w:val="000000"/>
          <w:spacing w:val="0"/>
          <w:w w:val="100"/>
          <w:shd w:fill="auto" w:val="clear"/>
          <w:lang w:val="en-US" w:eastAsia="en-US" w:bidi="en-US"/>
        </w:rPr>
        <w:t>Rousseau, Der Gesellschaftsvertrag, Bk. II, Kap. iv, p. 255.</w:t>
      </w:r>
    </w:p>
    <w:p>
      <w:pPr>
        <w:pStyle w:val="Flietext21"/>
        <w:keepNext w:val="false"/>
        <w:keepLines w:val="false"/>
        <w:widowControl w:val="false"/>
        <w:numPr>
          <w:ilvl w:val="0"/>
          <w:numId w:val="26"/>
        </w:numPr>
        <w:shd w:val="clear" w:color="auto" w:fill="auto"/>
        <w:tabs>
          <w:tab w:val="clear" w:pos="720"/>
          <w:tab w:val="left" w:pos="675" w:leader="none"/>
        </w:tabs>
        <w:bidi w:val="0"/>
        <w:spacing w:lineRule="auto" w:line="213" w:before="0" w:after="0"/>
        <w:ind w:left="0" w:right="0" w:firstLine="260"/>
        <w:jc w:val="both"/>
        <w:rPr/>
      </w:pPr>
      <w:r>
        <w:rPr>
          <w:color w:val="000000"/>
          <w:spacing w:val="0"/>
          <w:w w:val="100"/>
          <w:shd w:fill="auto" w:val="clear"/>
          <w:lang w:val="en-US" w:eastAsia="en-US" w:bidi="en-US"/>
        </w:rPr>
        <w:t>Zum Problem der Übersetzung dieser Passage siehe z.B. Taylor, A Note on Rousseau, Contrat Social, Buch II, Kap. 3", in Mind, Bd. LDC (Januar 1950).</w:t>
      </w:r>
    </w:p>
    <w:p>
      <w:pPr>
        <w:pStyle w:val="Flietext21"/>
        <w:keepNext w:val="false"/>
        <w:keepLines w:val="false"/>
        <w:widowControl w:val="false"/>
        <w:numPr>
          <w:ilvl w:val="0"/>
          <w:numId w:val="26"/>
        </w:numPr>
        <w:shd w:val="clear" w:color="auto" w:fill="auto"/>
        <w:tabs>
          <w:tab w:val="clear" w:pos="720"/>
          <w:tab w:val="left" w:pos="700" w:leader="none"/>
        </w:tabs>
        <w:bidi w:val="0"/>
        <w:spacing w:lineRule="auto" w:line="189" w:before="0" w:after="0"/>
        <w:ind w:left="0" w:right="0" w:firstLine="260"/>
        <w:jc w:val="both"/>
        <w:rPr/>
      </w:pPr>
      <w:r>
        <w:rPr>
          <w:color w:val="000000"/>
          <w:spacing w:val="0"/>
          <w:w w:val="100"/>
          <w:shd w:fill="auto" w:val="clear"/>
          <w:lang w:val="en-US" w:eastAsia="en-US" w:bidi="en-US"/>
        </w:rPr>
        <w:t>Broome, Rousseau, S. 57.</w:t>
      </w:r>
    </w:p>
    <w:p>
      <w:pPr>
        <w:pStyle w:val="Flietext21"/>
        <w:keepNext w:val="false"/>
        <w:keepLines w:val="false"/>
        <w:widowControl w:val="false"/>
        <w:numPr>
          <w:ilvl w:val="0"/>
          <w:numId w:val="26"/>
        </w:numPr>
        <w:shd w:val="clear" w:color="auto" w:fill="auto"/>
        <w:tabs>
          <w:tab w:val="clear" w:pos="720"/>
          <w:tab w:val="left" w:pos="700" w:leader="none"/>
        </w:tabs>
        <w:bidi w:val="0"/>
        <w:spacing w:lineRule="auto" w:line="189" w:before="0" w:after="0"/>
        <w:ind w:left="0" w:right="0" w:firstLine="260"/>
        <w:jc w:val="both"/>
        <w:rPr/>
      </w:pPr>
      <w:r>
        <w:rPr>
          <w:color w:val="000000"/>
          <w:spacing w:val="0"/>
          <w:w w:val="100"/>
          <w:shd w:fill="auto" w:val="clear"/>
          <w:lang w:val="en-US" w:eastAsia="en-US" w:bidi="en-US"/>
        </w:rPr>
        <w:t>Rousseau, Der Gesellschaftsvertrag, Bk. IV, Kap. ich, p. 307.</w:t>
      </w:r>
    </w:p>
    <w:p>
      <w:pPr>
        <w:pStyle w:val="Flietext21"/>
        <w:keepNext w:val="false"/>
        <w:keepLines w:val="false"/>
        <w:widowControl w:val="false"/>
        <w:numPr>
          <w:ilvl w:val="0"/>
          <w:numId w:val="26"/>
        </w:numPr>
        <w:shd w:val="clear" w:color="auto" w:fill="auto"/>
        <w:tabs>
          <w:tab w:val="clear" w:pos="720"/>
          <w:tab w:val="left" w:pos="700" w:leader="none"/>
        </w:tabs>
        <w:bidi w:val="0"/>
        <w:spacing w:lineRule="auto" w:line="189" w:before="0" w:after="0"/>
        <w:ind w:left="0" w:right="0" w:firstLine="260"/>
        <w:jc w:val="both"/>
        <w:rPr/>
      </w:pPr>
      <w:r>
        <w:rPr>
          <w:color w:val="000000"/>
          <w:spacing w:val="0"/>
          <w:w w:val="100"/>
          <w:shd w:fill="auto" w:val="clear"/>
          <w:lang w:val="en-US" w:eastAsia="en-US" w:bidi="en-US"/>
        </w:rPr>
        <w:t>Rousseau, Du Gontrat Social, Bk. Il, Ch. iii, p. 252.</w:t>
      </w:r>
    </w:p>
    <w:p>
      <w:pPr>
        <w:pStyle w:val="Flietext1"/>
        <w:keepNext w:val="false"/>
        <w:keepLines w:val="false"/>
        <w:widowControl w:val="false"/>
        <w:numPr>
          <w:ilvl w:val="0"/>
          <w:numId w:val="26"/>
        </w:numPr>
        <w:shd w:val="clear" w:color="auto" w:fill="auto"/>
        <w:tabs>
          <w:tab w:val="clear" w:pos="720"/>
          <w:tab w:val="left" w:pos="700" w:leader="none"/>
        </w:tabs>
        <w:bidi w:val="0"/>
        <w:spacing w:lineRule="auto" w:line="189" w:before="0" w:after="0"/>
        <w:ind w:left="0" w:right="0" w:firstLine="260"/>
        <w:jc w:val="left"/>
        <w:rPr>
          <w:sz w:val="22"/>
          <w:szCs w:val="22"/>
        </w:rPr>
      </w:pPr>
      <w:r>
        <w:rPr>
          <w:color w:val="000000"/>
          <w:spacing w:val="0"/>
          <w:w w:val="100"/>
          <w:sz w:val="22"/>
          <w:szCs w:val="22"/>
          <w:shd w:fill="auto" w:val="clear"/>
          <w:lang w:val="en-US" w:eastAsia="en-US" w:bidi="en-US"/>
        </w:rPr>
        <w:t>Ebenda.</w:t>
      </w:r>
    </w:p>
    <w:p>
      <w:pPr>
        <w:pStyle w:val="Flietext21"/>
        <w:keepNext w:val="false"/>
        <w:keepLines w:val="false"/>
        <w:widowControl w:val="false"/>
        <w:numPr>
          <w:ilvl w:val="0"/>
          <w:numId w:val="26"/>
        </w:numPr>
        <w:shd w:val="clear" w:color="auto" w:fill="auto"/>
        <w:tabs>
          <w:tab w:val="clear" w:pos="720"/>
          <w:tab w:val="left" w:pos="700" w:leader="none"/>
        </w:tabs>
        <w:bidi w:val="0"/>
        <w:spacing w:lineRule="auto" w:line="189" w:before="0" w:after="0"/>
        <w:ind w:left="0" w:right="0" w:firstLine="260"/>
        <w:jc w:val="left"/>
        <w:rPr/>
      </w:pPr>
      <w:r>
        <w:rPr>
          <w:color w:val="000000"/>
          <w:spacing w:val="0"/>
          <w:w w:val="100"/>
          <w:shd w:fill="auto" w:val="clear"/>
          <w:lang w:val="en-US" w:eastAsia="en-US" w:bidi="en-US"/>
        </w:rPr>
        <w:t>Siehe z.B. Sabine, Geschichte der politischen Theorie, S. 581; Wright, Bedeutung von Rousseau, S. 91.</w:t>
      </w:r>
    </w:p>
    <w:p>
      <w:pPr>
        <w:pStyle w:val="Flietext21"/>
        <w:keepNext w:val="false"/>
        <w:keepLines w:val="false"/>
        <w:widowControl w:val="false"/>
        <w:numPr>
          <w:ilvl w:val="0"/>
          <w:numId w:val="26"/>
        </w:numPr>
        <w:shd w:val="clear" w:color="auto" w:fill="auto"/>
        <w:tabs>
          <w:tab w:val="clear" w:pos="720"/>
          <w:tab w:val="left" w:pos="700" w:leader="none"/>
        </w:tabs>
        <w:bidi w:val="0"/>
        <w:spacing w:lineRule="auto" w:line="189" w:before="0" w:after="0"/>
        <w:ind w:left="0" w:right="0" w:firstLine="260"/>
        <w:jc w:val="both"/>
        <w:rPr/>
      </w:pPr>
      <w:r>
        <w:rPr>
          <w:color w:val="000000"/>
          <w:spacing w:val="0"/>
          <w:w w:val="100"/>
          <w:shd w:fill="auto" w:val="clear"/>
          <w:lang w:val="en-US" w:eastAsia="en-US" w:bidi="en-US"/>
        </w:rPr>
        <w:t>Rousseau, Der Gesellschaftsvertrag, Bk. II, Kap. VII, p. 261.</w:t>
      </w:r>
    </w:p>
    <w:p>
      <w:pPr>
        <w:pStyle w:val="Flietext21"/>
        <w:keepNext w:val="false"/>
        <w:keepLines w:val="false"/>
        <w:widowControl w:val="false"/>
        <w:numPr>
          <w:ilvl w:val="0"/>
          <w:numId w:val="26"/>
        </w:numPr>
        <w:shd w:val="clear" w:color="auto" w:fill="auto"/>
        <w:tabs>
          <w:tab w:val="clear" w:pos="720"/>
          <w:tab w:val="left" w:pos="675" w:leader="none"/>
        </w:tabs>
        <w:bidi w:val="0"/>
        <w:spacing w:lineRule="auto" w:line="213" w:before="0" w:after="0"/>
        <w:ind w:left="0" w:right="0" w:firstLine="260"/>
        <w:jc w:val="both"/>
        <w:rPr/>
      </w:pPr>
      <w:r>
        <w:rPr>
          <w:i/>
          <w:iCs/>
          <w:color w:val="000000"/>
          <w:spacing w:val="0"/>
          <w:w w:val="100"/>
          <w:shd w:fill="auto" w:val="clear"/>
          <w:lang w:val="en-US" w:eastAsia="en-US" w:bidi="en-US"/>
        </w:rPr>
        <w:t>Judith N. Shklar, „Rousseaus Bilder der Autorität“, in Cranston &amp; Peters (Hrsg.), Hobbes und Rousseau.</w:t>
      </w:r>
    </w:p>
    <w:p>
      <w:pPr>
        <w:pStyle w:val="Flietext21"/>
        <w:keepNext w:val="false"/>
        <w:keepLines w:val="false"/>
        <w:widowControl w:val="false"/>
        <w:numPr>
          <w:ilvl w:val="0"/>
          <w:numId w:val="26"/>
        </w:numPr>
        <w:shd w:val="clear" w:color="auto" w:fill="auto"/>
        <w:tabs>
          <w:tab w:val="clear" w:pos="720"/>
          <w:tab w:val="left" w:pos="700" w:leader="none"/>
        </w:tabs>
        <w:bidi w:val="0"/>
        <w:spacing w:lineRule="auto" w:line="189" w:before="0" w:after="0"/>
        <w:ind w:left="0" w:right="0" w:firstLine="260"/>
        <w:jc w:val="both"/>
        <w:rPr/>
      </w:pPr>
      <w:r>
        <w:rPr>
          <w:color w:val="000000"/>
          <w:spacing w:val="0"/>
          <w:w w:val="100"/>
          <w:shd w:fill="auto" w:val="clear"/>
          <w:lang w:val="en-US" w:eastAsia="en-US" w:bidi="en-US"/>
        </w:rPr>
        <w:t>Crocker, Rousseaus Gesellschaftsvertrag, passim.</w:t>
      </w:r>
    </w:p>
    <w:p>
      <w:pPr>
        <w:pStyle w:val="Flietext21"/>
        <w:keepNext w:val="false"/>
        <w:keepLines w:val="false"/>
        <w:widowControl w:val="false"/>
        <w:numPr>
          <w:ilvl w:val="0"/>
          <w:numId w:val="26"/>
        </w:numPr>
        <w:shd w:val="clear" w:color="auto" w:fill="auto"/>
        <w:tabs>
          <w:tab w:val="clear" w:pos="720"/>
          <w:tab w:val="left" w:pos="700" w:leader="none"/>
        </w:tabs>
        <w:bidi w:val="0"/>
        <w:spacing w:lineRule="auto" w:line="189" w:before="0" w:after="0"/>
        <w:ind w:left="0" w:right="0" w:firstLine="260"/>
        <w:jc w:val="both"/>
        <w:rPr/>
      </w:pPr>
      <w:r>
        <w:rPr>
          <w:color w:val="000000"/>
          <w:spacing w:val="0"/>
          <w:w w:val="100"/>
          <w:shd w:fill="auto" w:val="clear"/>
          <w:lang w:val="en-US" w:eastAsia="en-US" w:bidi="en-US"/>
        </w:rPr>
        <w:t>Rousseau, Der Gesellschaftsvertrag, Bk. II, Kap. VII, p. 261.</w:t>
      </w:r>
    </w:p>
    <w:p>
      <w:pPr>
        <w:pStyle w:val="Flietext21"/>
        <w:keepNext w:val="false"/>
        <w:keepLines w:val="false"/>
        <w:widowControl w:val="false"/>
        <w:numPr>
          <w:ilvl w:val="0"/>
          <w:numId w:val="26"/>
        </w:numPr>
        <w:shd w:val="clear" w:color="auto" w:fill="auto"/>
        <w:tabs>
          <w:tab w:val="clear" w:pos="720"/>
          <w:tab w:val="left" w:pos="700" w:leader="none"/>
        </w:tabs>
        <w:bidi w:val="0"/>
        <w:spacing w:lineRule="auto" w:line="189" w:before="0" w:after="200"/>
        <w:ind w:left="0" w:right="0" w:firstLine="260"/>
        <w:jc w:val="both"/>
        <w:rPr/>
      </w:pPr>
      <w:r>
        <w:rPr>
          <w:color w:val="000000"/>
          <w:spacing w:val="0"/>
          <w:w w:val="100"/>
          <w:shd w:fill="auto" w:val="clear"/>
          <w:lang w:val="en-US" w:eastAsia="en-US" w:bidi="en-US"/>
        </w:rPr>
        <w:t>Rousseau, Der Gesellschaftsvertrag, Bk. II, Kap. VII, p. 260.</w:t>
      </w:r>
    </w:p>
    <w:p>
      <w:pPr>
        <w:pStyle w:val="Flietext1"/>
        <w:keepNext w:val="false"/>
        <w:keepLines w:val="false"/>
        <w:widowControl w:val="false"/>
        <w:shd w:val="clear" w:color="auto" w:fill="auto"/>
        <w:bidi w:val="0"/>
        <w:spacing w:before="0" w:after="240"/>
        <w:ind w:left="0" w:right="0" w:firstLine="260"/>
        <w:jc w:val="both"/>
        <w:rPr/>
      </w:pPr>
      <w:r>
        <w:rPr>
          <w:color w:val="000000"/>
          <w:spacing w:val="0"/>
          <w:w w:val="100"/>
          <w:shd w:fill="auto" w:val="clear"/>
          <w:lang w:val="en-US" w:eastAsia="en-US" w:bidi="en-US"/>
        </w:rPr>
        <w:t>Auch die Zivilreligion ist Teil dieses Prozesses, wenn auch nur in einer sekundären unterstützenden Rolle, die komplementär zur Initiatorrolle des Gesetzgebers ist. Die Zivilreligion soll das am Leben erhalten, was der Gesetzgeber geschaffen hat, und ihre Behandlung ist offenkundig utilitaristisch. Seine Funktion besteht darin, jeden Bürger dazu zu bringen, seine Pflichten zu lieben.296 Ein Teil davon beinhaltet den Glauben an einen gerechten und strafenden Gott,297 offenbar mit der Begründung, dass nichts verboten ist, wenn Gott nicht existiert. Im übrigen handelt es sich nur um offenkundigere politische Angelegenheiten und Überzeugungen. Das Argument an dieser Stelle ist so weit entfernt von der Originalität, dass es schwer zu verstehen ist, warum es Aufsehen erregt hat – der Augustinianismus (einschließlich seiner wiederbelebten Form im Lutheranismus) beschränkte die staatliche Einmischung in die Religion auf die direkte Aufrechterhaltung oder Ordnung, und Marsilius und Machiavelli schlugen beide vor die Bewertung der Religion im Hinblick auf ihren Beitrag zu Ordnung und zivilem Frieden, die sich lediglich in ihrer Einschätzung der Wirksamkeit des Christentums in dieser Hinsicht unterscheiden298 des Staates – ist so offensichtlich, dass es kaum einen Kommentar erregt. Tatsächlich wiederholt Rousseau nur Luther, wenn er sagt, dass der Staat nur die Lehren durch Zwang schützen sollte, die zur Wahrung des Friedens notwendig sind299 (und er folgt seinem eigenen Rat konsequenter als Luther). Einige gegenteilige Interpretationen, es sind nicht Atheisten und Ungläubige, die hingerichtet werden – sie werden lediglich ausgewiesen300 –, sondern Eidbrecher,301 was offensichtlich eine ganz andere Sache ist, da ihr Verbrechen nicht ungläubig ist, sondern falsch verspricht. Rousseau macht auch deutlich, dass diese Religion weniger ein Privatkult nach dem Vorbild des römischen Kaiserkults ist, sondern lediglich der kleinste gemeinsame Nenner aller zuzulassenden und zu tolerierenden Religionen. 302. Religionsvielfalt ist erlaubt, aber Vielfalt innerhalb von Grenzen, wobei diese Grenzen die Abgaben sind, die von einem guten Bürger verlangt werden.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21"/>
        <w:keepNext w:val="false"/>
        <w:keepLines w:val="false"/>
        <w:widowControl w:val="false"/>
        <w:numPr>
          <w:ilvl w:val="0"/>
          <w:numId w:val="26"/>
        </w:numPr>
        <w:shd w:val="clear" w:color="auto" w:fill="auto"/>
        <w:tabs>
          <w:tab w:val="clear" w:pos="720"/>
          <w:tab w:val="left" w:pos="650" w:leader="none"/>
        </w:tabs>
        <w:bidi w:val="0"/>
        <w:spacing w:lineRule="auto" w:line="189" w:before="0" w:after="0"/>
        <w:ind w:left="0" w:right="0" w:firstLine="260"/>
        <w:jc w:val="left"/>
        <w:rPr/>
      </w:pPr>
      <w:r>
        <w:rPr>
          <w:color w:val="000000"/>
          <w:spacing w:val="0"/>
          <w:w w:val="100"/>
          <w:shd w:fill="auto" w:val="clear"/>
          <w:lang w:val="en-US" w:eastAsia="en-US" w:bidi="en-US"/>
        </w:rPr>
        <w:t>Rousseau, Der Gesellschaftsvertrag, Bk. IV, Kap. VIII, p. 334.</w:t>
      </w:r>
    </w:p>
    <w:p>
      <w:pPr>
        <w:pStyle w:val="Flietext21"/>
        <w:keepNext w:val="false"/>
        <w:keepLines w:val="false"/>
        <w:widowControl w:val="false"/>
        <w:numPr>
          <w:ilvl w:val="0"/>
          <w:numId w:val="26"/>
        </w:numPr>
        <w:shd w:val="clear" w:color="auto" w:fill="auto"/>
        <w:tabs>
          <w:tab w:val="clear" w:pos="720"/>
          <w:tab w:val="left" w:pos="650" w:leader="none"/>
        </w:tabs>
        <w:bidi w:val="0"/>
        <w:spacing w:lineRule="auto" w:line="189" w:before="0" w:after="0"/>
        <w:ind w:left="0" w:right="0" w:firstLine="260"/>
        <w:jc w:val="left"/>
        <w:rPr/>
      </w:pPr>
      <w:r>
        <w:rPr>
          <w:color w:val="000000"/>
          <w:spacing w:val="0"/>
          <w:w w:val="100"/>
          <w:shd w:fill="auto" w:val="clear"/>
          <w:lang w:val="en-US" w:eastAsia="en-US" w:bidi="en-US"/>
        </w:rPr>
        <w:t>Rousseau, Du Gontrat Social, Bk. IV, Kap. VIII, p. 335.</w:t>
      </w:r>
    </w:p>
    <w:p>
      <w:pPr>
        <w:pStyle w:val="Flietext21"/>
        <w:keepNext w:val="false"/>
        <w:keepLines w:val="false"/>
        <w:widowControl w:val="false"/>
        <w:numPr>
          <w:ilvl w:val="0"/>
          <w:numId w:val="26"/>
        </w:numPr>
        <w:shd w:val="clear" w:color="auto" w:fill="auto"/>
        <w:tabs>
          <w:tab w:val="clear" w:pos="720"/>
          <w:tab w:val="left" w:pos="625" w:leader="none"/>
        </w:tabs>
        <w:bidi w:val="0"/>
        <w:spacing w:lineRule="auto" w:line="220" w:before="0" w:after="0"/>
        <w:ind w:left="0" w:right="0" w:firstLine="260"/>
        <w:jc w:val="both"/>
        <w:rPr/>
      </w:pPr>
      <w:r>
        <w:rPr>
          <w:color w:val="000000"/>
          <w:spacing w:val="0"/>
          <w:w w:val="100"/>
          <w:shd w:fill="auto" w:val="clear"/>
          <w:lang w:val="en-US" w:eastAsia="en-US" w:bidi="en-US"/>
        </w:rPr>
        <w:t>C. Marsilius von Padua, Verteidiger Pacis. Diskurs I, Kap. V, #11 (New York: Harper &amp; Row, 1956) trans. von Alan Gewirth, S. 19; und Niccolo Machiavelli, Die Diskurse, Buch I, Kap. XII (New York: The Modern Library, 1950), p. 149.</w:t>
      </w:r>
    </w:p>
    <w:p>
      <w:pPr>
        <w:pStyle w:val="Flietext21"/>
        <w:keepNext w:val="false"/>
        <w:keepLines w:val="false"/>
        <w:widowControl w:val="false"/>
        <w:numPr>
          <w:ilvl w:val="0"/>
          <w:numId w:val="26"/>
        </w:numPr>
        <w:shd w:val="clear" w:color="auto" w:fill="auto"/>
        <w:tabs>
          <w:tab w:val="clear" w:pos="720"/>
          <w:tab w:val="left" w:pos="650" w:leader="none"/>
        </w:tabs>
        <w:bidi w:val="0"/>
        <w:spacing w:lineRule="auto" w:line="189" w:before="0" w:after="200"/>
        <w:ind w:left="0" w:right="0" w:firstLine="260"/>
        <w:jc w:val="left"/>
        <w:rPr/>
      </w:pPr>
      <w:r>
        <w:rPr>
          <w:color w:val="000000"/>
          <w:spacing w:val="0"/>
          <w:w w:val="100"/>
          <w:shd w:fill="auto" w:val="clear"/>
          <w:lang w:val="en-US" w:eastAsia="en-US" w:bidi="en-US"/>
        </w:rPr>
        <w:t>Rousseau, Der Gesellschaftsvertrag, Bk. IV, Kap. VIII, p. 374.</w:t>
      </w:r>
    </w:p>
    <w:p>
      <w:pPr>
        <w:pStyle w:val="Flietext1"/>
        <w:keepNext w:val="false"/>
        <w:keepLines w:val="false"/>
        <w:widowControl w:val="false"/>
        <w:shd w:val="clear" w:color="auto" w:fill="auto"/>
        <w:bidi w:val="0"/>
        <w:spacing w:before="0" w:after="220"/>
        <w:ind w:left="0" w:right="0" w:firstLine="260"/>
        <w:jc w:val="both"/>
        <w:rPr/>
      </w:pPr>
      <w:r>
        <w:rPr>
          <w:color w:val="000000"/>
          <w:spacing w:val="0"/>
          <w:w w:val="100"/>
          <w:shd w:fill="auto" w:val="clear"/>
          <w:lang w:val="en-US" w:eastAsia="en-US" w:bidi="en-US"/>
        </w:rPr>
        <w:t>Die „öffentliche Subskription“ der Grundsätze der Zivilreligion kommt Rousseau einem positiven Zustimmungsakt so nahe, ist aber als vertragsinitiierender Zustimmungsakt kaum angemessen. Es ist zu eng und spezifisch und bezieht sich nur auf ein Glaubensbekenntnis, nicht auf einen Rechtsverzicht oder ein Gehorsamsversprechen. Es ist ein äußeres Zeichen eines inneren Zustands – wer den Eid nicht leisten kann, wird ausgeschlossen, weil er sich als kein Mitglied, als asozial erweist.303 Die öffentliche Mitgliedschaft kann so sein, dass nur ein vollwertiges Mitglied der Gemeinschaft ist kann es nehmen, aber er kann es nehmen, weil er ein Vollmitglied ist; Vollmitglied wird er durch die Aufnahme nicht.</w:t>
      </w:r>
    </w:p>
    <w:p>
      <w:pPr>
        <w:pStyle w:val="Flietext1"/>
        <w:keepNext w:val="false"/>
        <w:keepLines w:val="false"/>
        <w:widowControl w:val="false"/>
        <w:shd w:val="clear" w:color="auto" w:fill="auto"/>
        <w:bidi w:val="0"/>
        <w:spacing w:before="0" w:after="280"/>
        <w:ind w:left="0" w:right="0" w:firstLine="300"/>
        <w:jc w:val="both"/>
        <w:rPr/>
      </w:pPr>
      <w:r>
        <w:rPr>
          <w:color w:val="000000"/>
          <w:spacing w:val="0"/>
          <w:w w:val="100"/>
          <w:shd w:fill="auto" w:val="clear"/>
          <w:lang w:val="en-US" w:eastAsia="en-US" w:bidi="en-US"/>
        </w:rPr>
        <w:t>Die zweite Voraussetzung dafür, dass Mehrheitsentscheidungen zur volonte generale führen können, ist, dass das Volk mit seiner Stimme nicht sein eigenes Wohl, sondern das allgemeine Wohl anstreben muss. Die Frage, auf die das Votum des Volkes eine Antwort sein soll, lautet nicht „Was willst du“ (wie für die liberale Demokratie), sondern „Was ist deiner Meinung nach das Gemeinwohl der Allgemeinheit?“304 In Mit anderen Worten, der Wähler in Rousseaus Generalversammlung verhält sich genau entgegengesetzt zu dem, was man von einem Wähler in einer utilitaristischen liberalen Demokratie erwarten würde. Der springende Punkt des liberalen Systems ist, dass nur dann, wenn jeder Einzelne seinen eigenen Vorteil sucht, die „unsichtbare Hand“ wirken kann, um das allgemeine Wohl zu erzeugen. Wie Garry Wills es ausdrückt:</w:t>
      </w:r>
    </w:p>
    <w:p>
      <w:pPr>
        <w:pStyle w:val="Flietext1"/>
        <w:keepNext w:val="false"/>
        <w:keepLines w:val="false"/>
        <w:widowControl w:val="false"/>
        <w:shd w:val="clear" w:color="auto" w:fill="auto"/>
        <w:bidi w:val="0"/>
        <w:spacing w:lineRule="auto" w:line="252" w:before="0" w:after="280"/>
        <w:ind w:left="260" w:right="0" w:firstLine="360"/>
        <w:jc w:val="both"/>
        <w:rPr/>
      </w:pPr>
      <w:r>
        <w:rPr>
          <w:color w:val="000000"/>
          <w:spacing w:val="0"/>
          <w:w w:val="100"/>
          <w:shd w:fill="auto" w:val="clear"/>
          <w:vertAlign w:val="superscript"/>
          <w:lang w:val="en-US" w:eastAsia="en-US" w:bidi="en-US"/>
        </w:rPr>
        <w:t>Man muss den wesentlichen Punkt des Amerikanischen verstehen, der so leicht verloren geht, wenn der Chauvinist nur unser tiefes Pflichtgefühl lobt oder der Satiriker den Egoismus angreift, als wäre er ein Fehler im System. Egoismus ist bei uns Pflicht. Der Anspruch des Marktes ist, dass Handlungen, die aus Eigeninteresse unternommen werden, von Adam Smiths „unsichtbarer Hand“ verkettet werden, um universellen Nutzen zu erzielen. Je freier die Handlungen der Menschen sind – d. h. je „ehrlicher“ in ihrer Richtung auf den Eigennutz –, desto zuverlässiger sind sie verkettet. Es ist der „zufällige“, unvorhersehbare Akt des Altruismus, der das Schema stört – Selbstlosigkeit wird zu einer Art Sabotage.305</w:t>
      </w:r>
    </w:p>
    <w:p>
      <w:pPr>
        <w:pStyle w:val="Flietext21"/>
        <w:keepNext w:val="false"/>
        <w:keepLines w:val="false"/>
        <w:widowControl w:val="false"/>
        <w:numPr>
          <w:ilvl w:val="0"/>
          <w:numId w:val="26"/>
        </w:numPr>
        <w:shd w:val="clear" w:color="auto" w:fill="auto"/>
        <w:tabs>
          <w:tab w:val="clear" w:pos="720"/>
          <w:tab w:val="left" w:pos="659" w:leader="none"/>
        </w:tabs>
        <w:bidi w:val="0"/>
        <w:spacing w:lineRule="auto" w:line="240" w:before="0" w:after="0"/>
        <w:ind w:left="0" w:right="0" w:firstLine="260"/>
        <w:jc w:val="left"/>
        <w:rPr/>
      </w:pPr>
      <w:r>
        <w:rPr>
          <w:color w:val="000000"/>
          <w:spacing w:val="0"/>
          <w:w w:val="100"/>
          <w:shd w:fill="auto" w:val="clear"/>
          <w:lang w:val="en-US" w:eastAsia="en-US" w:bidi="en-US"/>
        </w:rPr>
        <w:t>Rousseau, Der Gesellschaftsvertrag, Bk. IV, Kap. VIII, p. 375.</w:t>
      </w:r>
    </w:p>
    <w:p>
      <w:pPr>
        <w:pStyle w:val="Flietext21"/>
        <w:keepNext w:val="false"/>
        <w:keepLines w:val="false"/>
        <w:widowControl w:val="false"/>
        <w:numPr>
          <w:ilvl w:val="0"/>
          <w:numId w:val="26"/>
        </w:numPr>
        <w:shd w:val="clear" w:color="auto" w:fill="auto"/>
        <w:tabs>
          <w:tab w:val="clear" w:pos="720"/>
          <w:tab w:val="left" w:pos="659" w:leader="none"/>
        </w:tabs>
        <w:bidi w:val="0"/>
        <w:spacing w:before="0" w:after="0"/>
        <w:ind w:left="0" w:right="0" w:firstLine="260"/>
        <w:jc w:val="left"/>
        <w:rPr/>
      </w:pPr>
      <w:r>
        <w:rPr>
          <w:color w:val="000000"/>
          <w:spacing w:val="0"/>
          <w:w w:val="100"/>
          <w:shd w:fill="auto" w:val="clear"/>
          <w:lang w:val="en-US" w:eastAsia="en-US" w:bidi="en-US"/>
        </w:rPr>
        <w:t>Rousseau, Der Gesellschaftsvertrag, Bk. IV, Kap. VIII, p. 375.</w:t>
      </w:r>
    </w:p>
    <w:p>
      <w:pPr>
        <w:pStyle w:val="Flietext21"/>
        <w:keepNext w:val="false"/>
        <w:keepLines w:val="false"/>
        <w:widowControl w:val="false"/>
        <w:numPr>
          <w:ilvl w:val="0"/>
          <w:numId w:val="26"/>
        </w:numPr>
        <w:shd w:val="clear" w:color="auto" w:fill="auto"/>
        <w:tabs>
          <w:tab w:val="clear" w:pos="720"/>
          <w:tab w:val="left" w:pos="659" w:leader="none"/>
        </w:tabs>
        <w:bidi w:val="0"/>
        <w:spacing w:lineRule="auto" w:line="220" w:before="0" w:after="0"/>
        <w:ind w:left="0" w:right="0" w:firstLine="260"/>
        <w:jc w:val="left"/>
        <w:rPr/>
      </w:pPr>
      <w:r>
        <w:rPr>
          <w:color w:val="000000"/>
          <w:spacing w:val="0"/>
          <w:w w:val="100"/>
          <w:shd w:fill="auto" w:val="clear"/>
          <w:lang w:val="en-US" w:eastAsia="en-US" w:bidi="en-US"/>
        </w:rPr>
        <w:t>Rousseau, Der Gesellschaftsvertrag, Bk. IV, Kap. VIII, p. 376.</w:t>
      </w:r>
    </w:p>
    <w:p>
      <w:pPr>
        <w:pStyle w:val="Flietext21"/>
        <w:keepNext w:val="false"/>
        <w:keepLines w:val="false"/>
        <w:widowControl w:val="false"/>
        <w:numPr>
          <w:ilvl w:val="0"/>
          <w:numId w:val="26"/>
        </w:numPr>
        <w:shd w:val="clear" w:color="auto" w:fill="auto"/>
        <w:tabs>
          <w:tab w:val="clear" w:pos="720"/>
          <w:tab w:val="left" w:pos="659" w:leader="none"/>
        </w:tabs>
        <w:bidi w:val="0"/>
        <w:spacing w:before="0" w:after="0"/>
        <w:ind w:left="0" w:right="0" w:firstLine="260"/>
        <w:jc w:val="left"/>
        <w:rPr/>
      </w:pPr>
      <w:r>
        <w:rPr>
          <w:color w:val="000000"/>
          <w:spacing w:val="0"/>
          <w:w w:val="100"/>
          <w:shd w:fill="auto" w:val="clear"/>
          <w:lang w:val="en-US" w:eastAsia="en-US" w:bidi="en-US"/>
        </w:rPr>
        <w:t>Rousseau, Der Gesellschaftsvertrag, Bk. IV, Kap. VIII, p. 375.</w:t>
      </w:r>
    </w:p>
    <w:p>
      <w:pPr>
        <w:pStyle w:val="Flietext21"/>
        <w:keepNext w:val="false"/>
        <w:keepLines w:val="false"/>
        <w:widowControl w:val="false"/>
        <w:numPr>
          <w:ilvl w:val="0"/>
          <w:numId w:val="26"/>
        </w:numPr>
        <w:shd w:val="clear" w:color="auto" w:fill="auto"/>
        <w:tabs>
          <w:tab w:val="clear" w:pos="720"/>
          <w:tab w:val="left" w:pos="659" w:leader="none"/>
        </w:tabs>
        <w:bidi w:val="0"/>
        <w:spacing w:lineRule="auto" w:line="220" w:before="0" w:after="200"/>
        <w:ind w:left="0" w:right="0" w:firstLine="260"/>
        <w:jc w:val="both"/>
        <w:rPr/>
      </w:pPr>
      <w:r>
        <w:rPr>
          <w:color w:val="000000"/>
          <w:spacing w:val="0"/>
          <w:w w:val="100"/>
          <w:shd w:fill="auto" w:val="clear"/>
          <w:lang w:val="en-US" w:eastAsia="en-US" w:bidi="en-US"/>
        </w:rPr>
        <w:t>Rousseau, Der Gesellschaftsvertrag, Bk. IV, Kap. ich, p. 308.</w:t>
      </w:r>
    </w:p>
    <w:p>
      <w:pPr>
        <w:pStyle w:val="Flietext1"/>
        <w:keepNext w:val="false"/>
        <w:keepLines w:val="false"/>
        <w:widowControl w:val="false"/>
        <w:shd w:val="clear" w:color="auto" w:fill="auto"/>
        <w:bidi w:val="0"/>
        <w:spacing w:before="0" w:after="280"/>
        <w:ind w:left="0" w:right="0" w:hanging="0"/>
        <w:jc w:val="both"/>
        <w:rPr/>
      </w:pPr>
      <w:r>
        <w:rPr>
          <w:color w:val="000000"/>
          <w:spacing w:val="0"/>
          <w:w w:val="100"/>
          <w:shd w:fill="auto" w:val="clear"/>
          <w:lang w:val="en-US" w:eastAsia="en-US" w:bidi="en-US"/>
        </w:rPr>
        <w:t>Das Eindringen irgendeiner direkten Sorge um das Gemeinwohl ist Sand in die liberalen Werke; Für Rousseau hingegen ist es das Gemeinwohl, das der Wähler suchen muss, und jede Sorge um das Privatwohl ist destruktiv. „Sitot que quelqu'un dit des affaires de l'etat: Que m'importe? on doit compter que l'etat est perdu.“306 Daher verfehlt der Versuch, Rousseaus Prinzipien auf eine Situation anzuwenden, in der Menschen bewusst private Güter durch öffentliches Handeln suchen, den zentralen Begriff seiner Analyse – die problematische, aber überaus wichtige volonte generale. Das ist die Art von Fehler, die Spitz begeht, weil er glaubt, Rousseau widerlegt zu haben, indem er behauptet, dass „Männer, die sich an der Gesetzgebung beteiligen, nicht unbedingt die Gesetze bekommen, die sie wollen.“307 Der springende Punkt ist, dass Rousseaus Wähler nie gefragt werden, was sie wollen wollen; sie werden nur gefragt, was dem Gemeinwohl dient. Diese radikal andere Orientierung macht die Vermutung plausibler, dass sich die Minderheit irrt; Dies könnte niemals eine vertretbare These sein, wenn die Individuen für ihre Interessen abstimmen (sie würden dann nicht falsch liegen, sondern nur überstimmt werden), ist aber haltbar (wenn auch schwach), wenn die Abstimmung eine Bestimmung einer nicht-subjektiven Frage ist. Dieses Beharren darauf, dass die Minderheit ihren Fehler eingestehen muss, ist jedoch eine Übertreibung der Mehrheitsaspekte des legitimen Staates; wichtig ist das Votum der Mehrheit, sondern die volonte generale, die unter idealen Bedingungen dazu neigen kann, durch Mehrheitsvotum auffindbar zu sein, aber niemals damit identisch ist und niemals in Begriffen davon definiert wird. Tatsächlich ist die bloße Existenz einer signifikanten Minderheit an sich ein Hinweis darauf, dass die idealen Bedingungen nicht erreicht werden und dass das Mehrheitsvotum daher möglicherweise nicht einmal mehr ein zuverlässiger Indikator ist, weil:</w:t>
      </w:r>
    </w:p>
    <w:p>
      <w:pPr>
        <w:pStyle w:val="Flietext21"/>
        <w:keepNext w:val="false"/>
        <w:keepLines w:val="false"/>
        <w:widowControl w:val="false"/>
        <w:numPr>
          <w:ilvl w:val="0"/>
          <w:numId w:val="26"/>
        </w:numPr>
        <w:shd w:val="clear" w:color="auto" w:fill="auto"/>
        <w:tabs>
          <w:tab w:val="clear" w:pos="720"/>
          <w:tab w:val="left" w:pos="639" w:leader="none"/>
        </w:tabs>
        <w:bidi w:val="0"/>
        <w:spacing w:lineRule="auto" w:line="189" w:before="0" w:after="0"/>
        <w:ind w:left="0" w:right="0" w:firstLine="240"/>
        <w:jc w:val="left"/>
        <w:rPr/>
      </w:pPr>
      <w:r>
        <w:rPr>
          <w:color w:val="000000"/>
          <w:spacing w:val="0"/>
          <w:w w:val="100"/>
          <w:shd w:fill="auto" w:val="clear"/>
          <w:lang w:val="en-US" w:eastAsia="en-US" w:bidi="en-US"/>
        </w:rPr>
        <w:t>Gary Willis, Nixon Agonistes, S. 244.</w:t>
      </w:r>
    </w:p>
    <w:p>
      <w:pPr>
        <w:pStyle w:val="Flietext21"/>
        <w:keepNext w:val="false"/>
        <w:keepLines w:val="false"/>
        <w:widowControl w:val="false"/>
        <w:numPr>
          <w:ilvl w:val="0"/>
          <w:numId w:val="26"/>
        </w:numPr>
        <w:shd w:val="clear" w:color="auto" w:fill="auto"/>
        <w:tabs>
          <w:tab w:val="clear" w:pos="720"/>
          <w:tab w:val="left" w:pos="659" w:leader="none"/>
        </w:tabs>
        <w:bidi w:val="0"/>
        <w:spacing w:lineRule="auto" w:line="189" w:before="0" w:after="0"/>
        <w:ind w:left="0" w:right="0" w:firstLine="260"/>
        <w:jc w:val="both"/>
        <w:rPr/>
      </w:pPr>
      <w:r>
        <w:rPr>
          <w:color w:val="000000"/>
          <w:spacing w:val="0"/>
          <w:w w:val="100"/>
          <w:shd w:fill="auto" w:val="clear"/>
          <w:lang w:val="en-US" w:eastAsia="en-US" w:bidi="en-US"/>
        </w:rPr>
        <w:t>Rousseau, Der Gesellschaftsvertrag, Bk. III, Kap. xiv, p. 301.</w:t>
      </w:r>
    </w:p>
    <w:p>
      <w:pPr>
        <w:pStyle w:val="Flietext21"/>
        <w:keepNext w:val="false"/>
        <w:keepLines w:val="false"/>
        <w:widowControl w:val="false"/>
        <w:numPr>
          <w:ilvl w:val="0"/>
          <w:numId w:val="26"/>
        </w:numPr>
        <w:shd w:val="clear" w:color="auto" w:fill="auto"/>
        <w:tabs>
          <w:tab w:val="clear" w:pos="720"/>
          <w:tab w:val="left" w:pos="625" w:leader="none"/>
        </w:tabs>
        <w:bidi w:val="0"/>
        <w:spacing w:lineRule="auto" w:line="213" w:before="0" w:after="200"/>
        <w:ind w:left="0" w:right="0" w:firstLine="260"/>
        <w:jc w:val="both"/>
        <w:rPr/>
      </w:pPr>
      <w:r>
        <w:rPr>
          <w:color w:val="000000"/>
          <w:spacing w:val="0"/>
          <w:w w:val="100"/>
          <w:shd w:fill="auto" w:val="clear"/>
          <w:lang w:val="en-US" w:eastAsia="en-US" w:bidi="en-US"/>
        </w:rPr>
        <w:t>David Spitz, „On the Pleasures of Misunderstanding Freedom“, in Dissent, Band XIII, Nr. 6 (November-Dezember 1966), Seite 729.</w:t>
      </w:r>
    </w:p>
    <w:p>
      <w:pPr>
        <w:pStyle w:val="Flietext1"/>
        <w:keepNext w:val="false"/>
        <w:keepLines w:val="false"/>
        <w:widowControl w:val="false"/>
        <w:shd w:val="clear" w:color="auto" w:fill="auto"/>
        <w:bidi w:val="0"/>
        <w:spacing w:before="0" w:after="260"/>
        <w:ind w:left="0" w:right="0" w:firstLine="260"/>
        <w:jc w:val="both"/>
        <w:rPr/>
      </w:pPr>
      <w:r>
        <w:rPr>
          <w:color w:val="000000"/>
          <w:spacing w:val="0"/>
          <w:w w:val="100"/>
          <w:shd w:fill="auto" w:val="clear"/>
          <w:lang w:val="en-US" w:eastAsia="en-US" w:bidi="en-US"/>
        </w:rPr>
        <w:t>Drittens müssen die Menschen als Individuen beraten, nicht als Mitglieder von „des brigues, des association partielles“. ; das gilt nur oberflächlich, denn entscheidend ist die Befangenheit gegenüber dem künstlichen Konstrukt der Gemeinschaft und nicht gegenüber irgendeiner Abstraktion wie der Gesamtheit der Menschheit.) Vorhergehende Teilberatungen – Treffen von Fachgesellschaften, politischen Parteien, Gewerkschaften, Versammlungen oder was auch immer – wird dazu führen, dass ein Wille entsteht, der nur für diese Gruppe allgemein gilt. Eine Teilvolonte, die irgendwo zwischen Privatvolonte und Volonte Generale angesiedelt ist, wird hinsichtlich der Bestimmung der Volonte Generale einer Privatvolonte gleichgestellt. Es spielt keine Rolle, ob diese partielle volonte bei einer Politik oder einem Individuum vorkommt – die volonte generale kann nicht repräsentiert werden, und die repräsentative Demokratie wird als illegitim ausgeschlossen309, ebenso wie die Begründung der zeitgenössischen Gruppentheorie der Regierung verworfen wird.310 By Der Natur der Dinge nach könnten die Beratungen einer gewählten Versammlung nur die partielle volonte dieser Versammlung ergeben und würden nichts über die volonte generale der Gemeinschaft aussagen, die sie zu vertreten vorgibt. Rousseau macht einen Rückzieher bei partiellen Gesellschaften (allerdings nicht bei der Repräsentation) – er räumt ein, dass, wenn diese partiellen Gesellschaften existieren müssen, „il en faut multiplier le nombre et en prevenir l'inegalite“311. Dies ist sicherlich das widerwilligste Zugeständnis an den Pluralismus aufzeichnen.</w:t>
      </w:r>
    </w:p>
    <w:p>
      <w:pPr>
        <w:pStyle w:val="Flietext21"/>
        <w:keepNext w:val="false"/>
        <w:keepLines w:val="false"/>
        <w:widowControl w:val="false"/>
        <w:numPr>
          <w:ilvl w:val="0"/>
          <w:numId w:val="26"/>
        </w:numPr>
        <w:shd w:val="clear" w:color="auto" w:fill="auto"/>
        <w:tabs>
          <w:tab w:val="clear" w:pos="720"/>
          <w:tab w:val="left" w:pos="634" w:leader="none"/>
        </w:tabs>
        <w:bidi w:val="0"/>
        <w:spacing w:lineRule="auto" w:line="240" w:before="0" w:after="0"/>
        <w:ind w:left="0" w:right="0" w:firstLine="240"/>
        <w:jc w:val="both"/>
        <w:rPr/>
      </w:pPr>
      <w:r>
        <w:rPr>
          <w:color w:val="000000"/>
          <w:spacing w:val="0"/>
          <w:w w:val="100"/>
          <w:shd w:fill="auto" w:val="clear"/>
          <w:lang w:val="en-US" w:eastAsia="en-US" w:bidi="en-US"/>
        </w:rPr>
        <w:t>Rousseau, Der Gesellschaftsvertrag, Bk. II, Kap. iii, p. 252.</w:t>
      </w:r>
    </w:p>
    <w:p>
      <w:pPr>
        <w:pStyle w:val="Flietext21"/>
        <w:keepNext w:val="false"/>
        <w:keepLines w:val="false"/>
        <w:widowControl w:val="false"/>
        <w:numPr>
          <w:ilvl w:val="0"/>
          <w:numId w:val="26"/>
        </w:numPr>
        <w:shd w:val="clear" w:color="auto" w:fill="auto"/>
        <w:tabs>
          <w:tab w:val="clear" w:pos="720"/>
          <w:tab w:val="left" w:pos="639" w:leader="none"/>
        </w:tabs>
        <w:bidi w:val="0"/>
        <w:spacing w:lineRule="auto" w:line="220" w:before="0" w:after="0"/>
        <w:ind w:left="0" w:right="0" w:firstLine="240"/>
        <w:jc w:val="both"/>
        <w:rPr/>
      </w:pPr>
      <w:r>
        <w:rPr>
          <w:color w:val="000000"/>
          <w:spacing w:val="0"/>
          <w:w w:val="100"/>
          <w:shd w:fill="auto" w:val="clear"/>
          <w:lang w:val="en-US" w:eastAsia="en-US" w:bidi="en-US"/>
        </w:rPr>
        <w:t>Rousseau, Du Contrat Social, Teil III, Kapitel xv, p. 302.</w:t>
      </w:r>
    </w:p>
    <w:p>
      <w:pPr>
        <w:pStyle w:val="Flietext21"/>
        <w:keepNext w:val="false"/>
        <w:keepLines w:val="false"/>
        <w:widowControl w:val="false"/>
        <w:numPr>
          <w:ilvl w:val="0"/>
          <w:numId w:val="26"/>
        </w:numPr>
        <w:shd w:val="clear" w:color="auto" w:fill="auto"/>
        <w:tabs>
          <w:tab w:val="clear" w:pos="720"/>
          <w:tab w:val="left" w:pos="639" w:leader="none"/>
        </w:tabs>
        <w:bidi w:val="0"/>
        <w:spacing w:before="0" w:after="200"/>
        <w:ind w:left="0" w:right="0" w:firstLine="240"/>
        <w:jc w:val="both"/>
        <w:rPr/>
      </w:pPr>
      <w:r>
        <w:rPr>
          <w:color w:val="000000"/>
          <w:spacing w:val="0"/>
          <w:w w:val="100"/>
          <w:shd w:fill="auto" w:val="clear"/>
          <w:lang w:val="en-US" w:eastAsia="en-US" w:bidi="en-US"/>
        </w:rPr>
        <w:t>Rousseau, Die soziale Kunst, Bk. III, Kap. xv, p. 301.</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Es ist nicht nur widerwillig; es ist eigentlich widersprüchlich. Wenn partielle Volontes genauso schlecht sind wie private Volontes, dann kann das Produkt selbst einer großen Anzahl partieller Volontes nicht mehr auf die Volonte Generale hinweisen als eine große Anzahl privater Volontes – das heißt überhaupt nicht. Rousseau engagiert sich noch mehr als ihm bewusst für die totale Atomisierung der Gesellschaft, für die Eliminierung jeder vermittelnden Ebene zwischen Individuum und Gemeinschaft, und Kritiker haben zu Recht darauf als einen der Aspekte hingewiesen, in denen seine Theorie dem Totalitarismus am nächsten kommt.</w:t>
      </w:r>
    </w:p>
    <w:p>
      <w:pPr>
        <w:pStyle w:val="Flietext1"/>
        <w:keepNext w:val="false"/>
        <w:keepLines w:val="false"/>
        <w:widowControl w:val="false"/>
        <w:shd w:val="clear" w:color="auto" w:fill="auto"/>
        <w:bidi w:val="0"/>
        <w:spacing w:before="0" w:after="0"/>
        <w:ind w:left="0" w:right="0" w:hanging="0"/>
        <w:jc w:val="both"/>
        <w:rPr/>
      </w:pPr>
      <w:r>
        <w:rPr>
          <w:color w:val="000000"/>
          <w:spacing w:val="0"/>
          <w:w w:val="100"/>
          <w:shd w:fill="auto" w:val="clear"/>
          <w:lang w:val="en-US" w:eastAsia="en-US" w:bidi="en-US"/>
        </w:rPr>
        <w:t>Rousseau, Der Gesellschaftsvertrag, Bk. II, Kap. iii, p. 253.</w:t>
      </w:r>
    </w:p>
    <w:p>
      <w:pPr>
        <w:pStyle w:val="Flietext1"/>
        <w:keepNext w:val="false"/>
        <w:keepLines w:val="false"/>
        <w:widowControl w:val="false"/>
        <w:shd w:val="clear" w:color="auto" w:fill="auto"/>
        <w:bidi w:val="0"/>
        <w:spacing w:before="0" w:after="280"/>
        <w:ind w:left="0" w:right="0" w:firstLine="280"/>
        <w:jc w:val="both"/>
        <w:rPr/>
      </w:pPr>
      <w:r>
        <w:rPr>
          <w:color w:val="000000"/>
          <w:spacing w:val="0"/>
          <w:w w:val="100"/>
          <w:shd w:fill="auto" w:val="clear"/>
          <w:lang w:val="en-US" w:eastAsia="en-US" w:bidi="en-US"/>
        </w:rPr>
        <w:t>Die Nettofunktion dieser letzten beiden Bedingungen impliziert für Rousseau praktisch Einstimmigkeit. Es ist ein Zeichen des gesunden312 Staates, dass die meisten Gesetze fast einstimmig angenommen werden; die anhaltende Anwesenheit einer bedeutenden Minderheit ist an und für sich ein Zeichen von Korruption und Gefahr.313 Der einzelne, der ein Gesetz vorschlägt, sagt lediglich, was alle denken.314 (Die zusätzliche Annahme – dass solche Gesetze im gesunden Zustand notwendigerweise wenige sein werden315 – ist nicht unbedingt Teil der Natur der volonte generale, aber es weist darauf hin, warum Rousseau das Gefühl haben konnte, dass er nicht utopisch oder unrealistisch war, als er eine Volksversammlung als Methode der Gesetzgebung vorschlug.) Er scheint zu glauben, dass die Minderheit entweder kein oder nur ein vorübergehendes Problem ist und dass eine echte Orientierung der Gemeinschaft als Ganzes am Interet Commun das Vorhandensein einer bedeutenden und dauerhaften Minderheit innerhalb dieser Gemeinschaft beseitigen wird. Das Problem der abweichenden Minderheit ist ein wiederkehrendes und zentrales Problem der Demokratietheorie;568 Rousseau schlägt nicht so sehr irgendeine Lösung für dieses Problem vor, sondern geht einfach davon aus, dass es verschwinden wird.569 Wieder diese Behauptung, die einfach ist Für liberale Demokraten unverständlich, ihn als potentiellen Verbündeten einzuschätzen, ist, wenn nicht akzeptabel, zumindest verständlich, wenn man bedenkt, dass es ihm nie um das Individuum als einzigartige und unabhängige Einheit geht, sondern nur um das Individuum als Beispiel des „natürlichen Menschen“. “, nur mit der Essenz, die alle Menschen teilen. Wenn es tatsächlich alle Menschen teilen und wenn ein Gesetzgeber tatsächlich eine politische Verfassungsform schafft, die die Begierden und Wünsche der Menschen so formt, dass sie das moralische Versprechen dieses wesentlichen Menschen erfüllt, dann wird und muss das Problem der Minderheit verschwinden, wenn die Menschen politisch handeln nicht auf der Grundlage ihrer Getrenntheit (d. h. Wille, Interesse usw.) ), sondern auf der Grundlage dessen, was allen Menschen gemeinsam ist, sofern sie Männer sind. Das Argument mag nicht endgültig oder schlüssig sein, aber zumindest ist es kohärent, was mehr ist, als viele bereit sind zuzugeben.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21"/>
        <w:keepNext w:val="false"/>
        <w:keepLines w:val="false"/>
        <w:widowControl w:val="false"/>
        <w:numPr>
          <w:ilvl w:val="0"/>
          <w:numId w:val="26"/>
        </w:numPr>
        <w:shd w:val="clear" w:color="auto" w:fill="auto"/>
        <w:tabs>
          <w:tab w:val="clear" w:pos="720"/>
          <w:tab w:val="left" w:pos="654" w:leader="none"/>
        </w:tabs>
        <w:bidi w:val="0"/>
        <w:spacing w:lineRule="auto" w:line="189" w:before="0" w:after="0"/>
        <w:ind w:left="0" w:right="0" w:firstLine="260"/>
        <w:jc w:val="both"/>
        <w:rPr/>
      </w:pPr>
      <w:r>
        <w:rPr>
          <w:color w:val="000000"/>
          <w:spacing w:val="0"/>
          <w:w w:val="100"/>
          <w:shd w:fill="auto" w:val="clear"/>
          <w:lang w:val="en-US" w:eastAsia="en-US" w:bidi="en-US"/>
        </w:rPr>
        <w:t>Rousseau, Der Gesellschaftsvertrag, Bk. II, Kap. iii, p. 253.</w:t>
      </w:r>
    </w:p>
    <w:p>
      <w:pPr>
        <w:pStyle w:val="Flietext21"/>
        <w:keepNext w:val="false"/>
        <w:keepLines w:val="false"/>
        <w:widowControl w:val="false"/>
        <w:numPr>
          <w:ilvl w:val="0"/>
          <w:numId w:val="26"/>
        </w:numPr>
        <w:shd w:val="clear" w:color="auto" w:fill="auto"/>
        <w:tabs>
          <w:tab w:val="clear" w:pos="720"/>
          <w:tab w:val="left" w:pos="610" w:leader="none"/>
        </w:tabs>
        <w:bidi w:val="0"/>
        <w:spacing w:lineRule="auto" w:line="220" w:before="0" w:after="0"/>
        <w:ind w:left="0" w:right="0" w:firstLine="260"/>
        <w:jc w:val="both"/>
        <w:rPr/>
      </w:pPr>
      <w:r>
        <w:rPr>
          <w:color w:val="000000"/>
          <w:spacing w:val="0"/>
          <w:w w:val="100"/>
          <w:shd w:fill="auto" w:val="clear"/>
          <w:lang w:val="en-US" w:eastAsia="en-US" w:bidi="en-US"/>
        </w:rPr>
        <w:t>Die biologische Metapher erinnert an Platons Republik und insbesondere an den „gesunden Staat“, der von Glaukon als „Gesellschaft der Schweine“ verspottet, aber von Sokrates/Platon nie ausdrücklich abgelehnt oder aufgegeben wurde. vgl. Platon, Republik, Buch II, p. 373.</w:t>
      </w:r>
    </w:p>
    <w:p>
      <w:pPr>
        <w:pStyle w:val="Flietext21"/>
        <w:keepNext w:val="false"/>
        <w:keepLines w:val="false"/>
        <w:widowControl w:val="false"/>
        <w:numPr>
          <w:ilvl w:val="0"/>
          <w:numId w:val="26"/>
        </w:numPr>
        <w:shd w:val="clear" w:color="auto" w:fill="auto"/>
        <w:tabs>
          <w:tab w:val="clear" w:pos="720"/>
          <w:tab w:val="left" w:pos="659" w:leader="none"/>
        </w:tabs>
        <w:bidi w:val="0"/>
        <w:spacing w:lineRule="auto" w:line="189" w:before="0" w:after="0"/>
        <w:ind w:left="0" w:right="0" w:firstLine="260"/>
        <w:jc w:val="both"/>
        <w:rPr/>
      </w:pPr>
      <w:r>
        <w:rPr>
          <w:color w:val="000000"/>
          <w:spacing w:val="0"/>
          <w:w w:val="100"/>
          <w:shd w:fill="auto" w:val="clear"/>
          <w:lang w:val="en-US" w:eastAsia="en-US" w:bidi="en-US"/>
        </w:rPr>
        <w:t>Rousseau, Der Gesellschaftsvertrag, Bk. IV, Kap. ich, p. 308.</w:t>
      </w:r>
    </w:p>
    <w:p>
      <w:pPr>
        <w:pStyle w:val="Flietext21"/>
        <w:keepNext w:val="false"/>
        <w:keepLines w:val="false"/>
        <w:widowControl w:val="false"/>
        <w:numPr>
          <w:ilvl w:val="0"/>
          <w:numId w:val="26"/>
        </w:numPr>
        <w:shd w:val="clear" w:color="auto" w:fill="auto"/>
        <w:tabs>
          <w:tab w:val="clear" w:pos="720"/>
          <w:tab w:val="left" w:pos="659" w:leader="none"/>
        </w:tabs>
        <w:bidi w:val="0"/>
        <w:spacing w:lineRule="auto" w:line="189" w:before="0" w:after="0"/>
        <w:ind w:left="0" w:right="0" w:firstLine="260"/>
        <w:jc w:val="both"/>
        <w:rPr/>
      </w:pPr>
      <w:r>
        <w:rPr>
          <w:color w:val="000000"/>
          <w:spacing w:val="0"/>
          <w:w w:val="100"/>
          <w:shd w:fill="auto" w:val="clear"/>
          <w:lang w:val="en-US" w:eastAsia="en-US" w:bidi="en-US"/>
        </w:rPr>
        <w:t>Rousseau, Der Gesellschaftsvertrag, Bk. IV, Kap. ich, p. 308.</w:t>
      </w:r>
    </w:p>
    <w:p>
      <w:pPr>
        <w:pStyle w:val="Flietext21"/>
        <w:keepNext w:val="false"/>
        <w:keepLines w:val="false"/>
        <w:widowControl w:val="false"/>
        <w:numPr>
          <w:ilvl w:val="0"/>
          <w:numId w:val="26"/>
        </w:numPr>
        <w:shd w:val="clear" w:color="auto" w:fill="auto"/>
        <w:tabs>
          <w:tab w:val="clear" w:pos="720"/>
          <w:tab w:val="left" w:pos="659" w:leader="none"/>
        </w:tabs>
        <w:bidi w:val="0"/>
        <w:spacing w:lineRule="auto" w:line="189" w:before="0" w:after="200"/>
        <w:ind w:left="0" w:right="0" w:firstLine="260"/>
        <w:jc w:val="both"/>
        <w:rPr/>
      </w:pPr>
      <w:r>
        <w:rPr>
          <w:color w:val="000000"/>
          <w:spacing w:val="0"/>
          <w:w w:val="100"/>
          <w:shd w:fill="auto" w:val="clear"/>
          <w:lang w:val="en-US" w:eastAsia="en-US" w:bidi="en-US"/>
        </w:rPr>
        <w:t>Rousseau, Der Gesellschaftsvertrag, Bk. IV, Kap. ich, p. 308.</w:t>
      </w:r>
    </w:p>
    <w:p>
      <w:pPr>
        <w:pStyle w:val="Flietext1"/>
        <w:keepNext w:val="false"/>
        <w:keepLines w:val="false"/>
        <w:widowControl w:val="false"/>
        <w:shd w:val="clear" w:color="auto" w:fill="auto"/>
        <w:bidi w:val="0"/>
        <w:spacing w:before="0" w:after="240"/>
        <w:ind w:left="0" w:right="0" w:firstLine="260"/>
        <w:jc w:val="both"/>
        <w:rPr/>
      </w:pPr>
      <w:r>
        <w:rPr>
          <w:color w:val="000000"/>
          <w:spacing w:val="0"/>
          <w:w w:val="100"/>
          <w:shd w:fill="auto" w:val="clear"/>
          <w:lang w:val="en-US" w:eastAsia="en-US" w:bidi="en-US"/>
        </w:rPr>
        <w:t>Unter diesen Bedingungen sind also die Beratungen und Abstimmungen der Volksversammlung ein praktikables Mittel zur Entdeckung der volonte generale?316 317 568 und immer und nur in der volonte generale kann die politische Verpflichtung begründet werden. Insofern fallen Majoritarismus und volonte generale zusammen, aber die volonte generale ist der Seniorpartner. Es wird nicht durch Stimmen geschaffen und ist nicht identisch mit der Mehrheitsentscheidung oder dem Mehrheitswillen – es ist lediglich so, dass unter ganz bestimmten Bedingungen die Mehrheitsentscheidung in einer Volksversammlung den Inhalt einer volonte generale enthüllt, die unabhängig von diesen Stimmen existiert. Niemand könnte weniger bereit sein als Rousseau, vox populi zu vergöttern; was erhaben ist, ist die volonte generale, und die begrenzte Heiligkeit des Mehrheitsvotums ergibt sich ausschließlich aus der Tatsache, dass es uns unter sehr begrenzten Bedingungen zu diesem Ziel führen wird.</w:t>
      </w:r>
    </w:p>
    <w:p>
      <w:pPr>
        <w:pStyle w:val="Flietext1"/>
        <w:keepNext w:val="false"/>
        <w:keepLines w:val="false"/>
        <w:widowControl w:val="false"/>
        <w:shd w:val="clear" w:color="auto" w:fill="auto"/>
        <w:bidi w:val="0"/>
        <w:spacing w:before="0" w:after="300"/>
        <w:ind w:left="0" w:right="0" w:firstLine="280"/>
        <w:jc w:val="both"/>
        <w:rPr/>
      </w:pPr>
      <w:r>
        <w:rPr>
          <w:color w:val="000000"/>
          <w:spacing w:val="0"/>
          <w:w w:val="100"/>
          <w:shd w:fill="auto" w:val="clear"/>
          <w:lang w:val="en-US" w:eastAsia="en-US" w:bidi="en-US"/>
        </w:rPr>
        <w:t>Daher die Schwierigkeit, Rousseau der liberaldemokratischen Tradition anzupassen, wie es Chapman319 und Spitz320 versuchen. Mehrheitsregel, Ausdruck des individuellen Willens und der Interessen durch die Wahl, Repräsentation, individuelle Rechte – all dies ist das Herzstück der liberalen Demokratie, und alle stehen im Gegensatz zu Rousseau. Allen gemeinsam ist das Mittel der Mehrheitsentscheidung, und nur der einfachste Ansatz zur Demokratie kann suggerieren, dass dies ausreicht. Darüber hinaus gibt es bei Rousseau keine Annahme, dass der allgemeine Wille automatisch aus einer Mehrheitsentscheidung unter irgendwelchen Bedingungen hervorgeht; ganz im Gegenteil, es kann so nur unter hochpräzisen und schwer zu wartenden Bedingungen entstehen. Dies deutet auf eine Abhängigkeit von einsamen Autoritätsfiguren hin, die in einer Reihe anderer Wörter offensichtlich sind (der Tutor in Emile, Wolmar in Nouvelle Heloise); Ohne den hochspezifischen institutionellen Kontext des legitimen Staates und die spezifischen Veränderungen und Auswirkungen, die er in der Psyche von Einzelpersonen hervorgebracht hat, verliert die individuelle Stimme sogar den instrumentellen Wert, den sie in Du Contrat Social besitzt von entscheidender Bedeutung, da er die Mittel zur Transformation vom korrumpierten Individuum, dessen Stimme wertlos ist, zum gereinigten Individuum im rechtmäßigen Staat bereitstellt, dessen Stimme wertvoll ist, wenn die Bedingungen erfüllt sind; und dies weist wiederum auf die Fallstricke hin, wenn man Argumente, die auf anderen Schriften beruhen, auf die Institutionen von Du Contrat social anwendet.</w:t>
      </w:r>
    </w:p>
    <w:p>
      <w:pPr>
        <w:pStyle w:val="Flietext21"/>
        <w:keepNext w:val="false"/>
        <w:keepLines w:val="false"/>
        <w:widowControl w:val="false"/>
        <w:numPr>
          <w:ilvl w:val="0"/>
          <w:numId w:val="27"/>
        </w:numPr>
        <w:shd w:val="clear" w:color="auto" w:fill="auto"/>
        <w:tabs>
          <w:tab w:val="clear" w:pos="720"/>
          <w:tab w:val="left" w:pos="679" w:leader="none"/>
        </w:tabs>
        <w:bidi w:val="0"/>
        <w:spacing w:lineRule="auto" w:line="189" w:before="0" w:after="0"/>
        <w:ind w:left="0" w:right="0" w:firstLine="280"/>
        <w:jc w:val="both"/>
        <w:rPr/>
      </w:pPr>
      <w:r>
        <w:rPr>
          <w:color w:val="000000"/>
          <w:spacing w:val="0"/>
          <w:w w:val="100"/>
          <w:shd w:fill="auto" w:val="clear"/>
          <w:lang w:val="en-US" w:eastAsia="en-US" w:bidi="en-US"/>
        </w:rPr>
        <w:t>Chapman, Rousseau, passim.</w:t>
      </w:r>
    </w:p>
    <w:p>
      <w:pPr>
        <w:pStyle w:val="Flietext21"/>
        <w:keepNext w:val="false"/>
        <w:keepLines w:val="false"/>
        <w:widowControl w:val="false"/>
        <w:numPr>
          <w:ilvl w:val="0"/>
          <w:numId w:val="27"/>
        </w:numPr>
        <w:shd w:val="clear" w:color="auto" w:fill="auto"/>
        <w:tabs>
          <w:tab w:val="clear" w:pos="720"/>
          <w:tab w:val="left" w:pos="679" w:leader="none"/>
        </w:tabs>
        <w:bidi w:val="0"/>
        <w:spacing w:lineRule="auto" w:line="189" w:before="0" w:after="0"/>
        <w:ind w:left="0" w:right="0" w:firstLine="280"/>
        <w:jc w:val="both"/>
        <w:rPr/>
      </w:pPr>
      <w:r>
        <w:rPr>
          <w:color w:val="000000"/>
          <w:spacing w:val="0"/>
          <w:w w:val="100"/>
          <w:shd w:fill="auto" w:val="clear"/>
          <w:lang w:val="en-US" w:eastAsia="en-US" w:bidi="en-US"/>
        </w:rPr>
        <w:t>Spitz, „Von den Freuden des Mißverständnisses der Freiheit“.</w:t>
      </w:r>
    </w:p>
    <w:p>
      <w:pPr>
        <w:pStyle w:val="Flietext21"/>
        <w:keepNext w:val="false"/>
        <w:keepLines w:val="false"/>
        <w:widowControl w:val="false"/>
        <w:numPr>
          <w:ilvl w:val="0"/>
          <w:numId w:val="27"/>
        </w:numPr>
        <w:shd w:val="clear" w:color="auto" w:fill="auto"/>
        <w:tabs>
          <w:tab w:val="clear" w:pos="720"/>
          <w:tab w:val="left" w:pos="620" w:leader="none"/>
        </w:tabs>
        <w:bidi w:val="0"/>
        <w:spacing w:lineRule="auto" w:line="213" w:before="0" w:after="200"/>
        <w:ind w:left="0" w:right="0" w:firstLine="280"/>
        <w:jc w:val="both"/>
        <w:rPr/>
      </w:pPr>
      <w:r>
        <w:rPr>
          <w:i/>
          <w:iCs/>
          <w:color w:val="000000"/>
          <w:spacing w:val="0"/>
          <w:w w:val="100"/>
          <w:shd w:fill="auto" w:val="clear"/>
          <w:lang w:val="en-US" w:eastAsia="en-US" w:bidi="en-US"/>
        </w:rPr>
        <w:t>Ich denke dabei an Diskussionen wie Shklars „Rousseaus Bilder der Autorität“ und Crockers Rousseaus Gesellschaftsvertrag.</w:t>
      </w:r>
    </w:p>
    <w:p>
      <w:pPr>
        <w:pStyle w:val="Flietext1"/>
        <w:keepNext w:val="false"/>
        <w:keepLines w:val="false"/>
        <w:widowControl w:val="false"/>
        <w:shd w:val="clear" w:color="auto" w:fill="auto"/>
        <w:bidi w:val="0"/>
        <w:spacing w:before="0" w:after="260"/>
        <w:ind w:left="0" w:right="0" w:firstLine="280"/>
        <w:jc w:val="both"/>
        <w:rPr/>
      </w:pPr>
      <w:r>
        <w:rPr>
          <w:color w:val="000000"/>
          <w:spacing w:val="0"/>
          <w:w w:val="100"/>
          <w:shd w:fill="auto" w:val="clear"/>
          <w:vertAlign w:val="superscript"/>
          <w:lang w:val="en-US" w:eastAsia="en-US" w:bidi="en-US"/>
        </w:rPr>
        <w:t>Es bleiben offensichtliche Schwierigkeiten hinsichtlich der Brauchbarkeit des Begriffs der volonte generale – seine Bedeutung wird nur durch seine Vagheit übertroffen, und Rousseau scheint der Falle des Majoritarismus entkommen zu sein, nur um sich in die Wildnis der Ungenauigkeit zu flüchten. Kommentare zu dieser Partitur lassen sich in eine Reihe von Kategorien einteilen. Erstens gibt es diejenigen, die es mehr oder weniger einfach und direkt abtun. Die volonte generale, so Carritt, „erzählt keine Lügen, weil man ihr keine Fragen stellen kann“322 und reduziert sich nicht auf ein Programm, sondern nur auf einen Slogan. Maritain bezeichnet ihn abschätzig als „den schönsten Mythos von Jean-Jacques“.323 Mehr verwundert als verärgert stellt Frankel fest, dass „(a)eigentlich Rousseaus Doktrin fast alles zu rechtfertigen scheint, von der vollständigen Rechtfertigung des Status quo bis hin zu einem Zustand des Status quo permanente Revolution“324, obwohl dies wenig anderes sagt, als dass Rousseau weniger leicht zu einem Verfasser einer apologetischen Ideologie gemacht werden kann als die meisten politischen Philosophen, und auf jeden Fall die Unbestimmtheit seiner Vorschrift übertreibt. Zweitens fehlt es an der Unterscheidung zwischen den beiden Verträgen, wie in Beschwerden, dass die volonte generale denkbarerweise überall angesiedelt sein könnte, und die objektiven Determinanten ihrer Verortung in einer bestimmten Gesellschaft zu einem bestimmten Zeitpunkt so undeutlich sind, dass sie auf a reduziert werden bloß ehrenhaft oder ein Freibrief für jeden zukünftigen Hitler.325 Dieser Einwand ist für den korrumpierten Staat völlig relevant (Platon und Rousseau malen ähnlich deutlich einen idealen Staat, sind aber vage und sogar widersprüchlich in Bezug auf Anweisungen, wie man dorthin gelangt), aber viel weniger für den idealen Staat, und insofern Rousseaus Rat an Personen in der Korruption der heutigen Gesellschaft nicht Revolution, sondern Resignation ist, werden sogar seine Gefahren in diesem Zustand weit überschätzt. Drittens gibt es den Versuch, den Begriff auf den modernen Massennationalstaat anzuwenden – Thomson, der um einen Vergleich ringt, schlägt den Geist des Vereinigten Königreichs während der Luftschlacht um England vor326 (ohne jedoch die offensichtliche parallele Schlussfolgerung zu ziehen, dass Frankreich keine Gemeinschaft im Sinne Rousseaus gewesen sein, weil sie unter ähnlichen Bedingungen einfach zusammengebrochen ist). Obwohl Rousseau in dieser Angelegenheit schwer festzumachen ist, ist seine Präferenz für die ganz andere Situation der direkten Demokratie im kleinen Maßstab klar,327 daher sind solche Beispiele nicht wirklich relevant. Er selbst räumt ein, dass die Anwendung seiner Ideen auf schlecht konstruierte Staaten ziemlich absurd ist. 328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21"/>
        <w:keepNext w:val="false"/>
        <w:keepLines w:val="false"/>
        <w:widowControl w:val="false"/>
        <w:numPr>
          <w:ilvl w:val="0"/>
          <w:numId w:val="27"/>
        </w:numPr>
        <w:shd w:val="clear" w:color="auto" w:fill="auto"/>
        <w:tabs>
          <w:tab w:val="clear" w:pos="720"/>
          <w:tab w:val="left" w:pos="630" w:leader="none"/>
        </w:tabs>
        <w:bidi w:val="0"/>
        <w:spacing w:lineRule="auto" w:line="240" w:before="0" w:after="0"/>
        <w:ind w:left="0" w:right="0" w:firstLine="240"/>
        <w:jc w:val="both"/>
        <w:rPr/>
      </w:pPr>
      <w:r>
        <w:rPr>
          <w:color w:val="000000"/>
          <w:spacing w:val="0"/>
          <w:w w:val="100"/>
          <w:shd w:fill="auto" w:val="clear"/>
          <w:lang w:val="en-US" w:eastAsia="en-US" w:bidi="en-US"/>
        </w:rPr>
        <w:t>Zitiert in Gough, The Social Contract, S. 169.</w:t>
      </w:r>
    </w:p>
    <w:p>
      <w:pPr>
        <w:pStyle w:val="Flietext21"/>
        <w:keepNext w:val="false"/>
        <w:keepLines w:val="false"/>
        <w:widowControl w:val="false"/>
        <w:numPr>
          <w:ilvl w:val="0"/>
          <w:numId w:val="27"/>
        </w:numPr>
        <w:shd w:val="clear" w:color="auto" w:fill="auto"/>
        <w:tabs>
          <w:tab w:val="clear" w:pos="720"/>
          <w:tab w:val="left" w:pos="639" w:leader="none"/>
        </w:tabs>
        <w:bidi w:val="0"/>
        <w:spacing w:before="0" w:after="0"/>
        <w:ind w:left="0" w:right="0" w:firstLine="240"/>
        <w:jc w:val="left"/>
        <w:rPr/>
      </w:pPr>
      <w:r>
        <w:rPr>
          <w:color w:val="000000"/>
          <w:spacing w:val="0"/>
          <w:w w:val="100"/>
          <w:shd w:fill="auto" w:val="clear"/>
          <w:lang w:val="en-US" w:eastAsia="en-US" w:bidi="en-US"/>
        </w:rPr>
        <w:t>Maritain, Drei Reformatoren, p. 134.</w:t>
      </w:r>
    </w:p>
    <w:p>
      <w:pPr>
        <w:pStyle w:val="Flietext21"/>
        <w:keepNext w:val="false"/>
        <w:keepLines w:val="false"/>
        <w:widowControl w:val="false"/>
        <w:numPr>
          <w:ilvl w:val="0"/>
          <w:numId w:val="27"/>
        </w:numPr>
        <w:shd w:val="clear" w:color="auto" w:fill="auto"/>
        <w:tabs>
          <w:tab w:val="clear" w:pos="720"/>
          <w:tab w:val="left" w:pos="639" w:leader="none"/>
        </w:tabs>
        <w:bidi w:val="0"/>
        <w:spacing w:lineRule="auto" w:line="220" w:before="0" w:after="0"/>
        <w:ind w:left="0" w:right="0" w:firstLine="240"/>
        <w:jc w:val="left"/>
        <w:rPr/>
      </w:pPr>
      <w:r>
        <w:rPr>
          <w:color w:val="000000"/>
          <w:spacing w:val="0"/>
          <w:w w:val="100"/>
          <w:shd w:fill="auto" w:val="clear"/>
          <w:lang w:val="en-US" w:eastAsia="en-US" w:bidi="en-US"/>
        </w:rPr>
        <w:t>Frankel, „Einführung“, S. xxvi.</w:t>
      </w:r>
    </w:p>
    <w:p>
      <w:pPr>
        <w:pStyle w:val="Flietext21"/>
        <w:keepNext w:val="false"/>
        <w:keepLines w:val="false"/>
        <w:widowControl w:val="false"/>
        <w:numPr>
          <w:ilvl w:val="0"/>
          <w:numId w:val="27"/>
        </w:numPr>
        <w:shd w:val="clear" w:color="auto" w:fill="auto"/>
        <w:tabs>
          <w:tab w:val="clear" w:pos="720"/>
          <w:tab w:val="left" w:pos="639" w:leader="none"/>
        </w:tabs>
        <w:bidi w:val="0"/>
        <w:spacing w:before="0" w:after="200"/>
        <w:ind w:left="0" w:right="0" w:firstLine="240"/>
        <w:jc w:val="both"/>
        <w:rPr/>
      </w:pPr>
      <w:r>
        <w:rPr>
          <w:color w:val="000000"/>
          <w:spacing w:val="0"/>
          <w:w w:val="100"/>
          <w:shd w:fill="auto" w:val="clear"/>
          <w:lang w:val="en-US" w:eastAsia="en-US" w:bidi="en-US"/>
        </w:rPr>
        <w:t>Vgl. B. Nisbet, „Rousseau and Totalitarianism“, S. 112.</w:t>
      </w:r>
    </w:p>
    <w:p>
      <w:pPr>
        <w:pStyle w:val="Flietext1"/>
        <w:keepNext w:val="false"/>
        <w:keepLines w:val="false"/>
        <w:widowControl w:val="false"/>
        <w:shd w:val="clear" w:color="auto" w:fill="auto"/>
        <w:bidi w:val="0"/>
        <w:spacing w:before="0" w:after="260"/>
        <w:ind w:left="0" w:right="0" w:firstLine="260"/>
        <w:jc w:val="both"/>
        <w:rPr/>
      </w:pPr>
      <w:r>
        <w:rPr>
          <w:color w:val="000000"/>
          <w:spacing w:val="0"/>
          <w:w w:val="100"/>
          <w:shd w:fill="auto" w:val="clear"/>
          <w:lang w:val="en-US" w:eastAsia="en-US" w:bidi="en-US"/>
        </w:rPr>
        <w:t>Ein solches Hin und Her bei dem Versuch, mit der volonte generale zu schließen, ist kaum überraschend, denn Rousseau scheint dazu einzuladen. Tatsächlich steckt in Rousseaus Lösung des Verpflichtungsproblems mehr als nur eine Spur von definitorischem Kunstgriff. Die ewige Strafe für die Lösung eines Problems durch Neudefinition besteht darin, die identische Problemoberfläche in unterschiedlichen Begriffen zu haben. Konkret: „Wie können wir wissen, was wir tun sollen?“ wird von der volonte generale beantwortet, die definiert ist als das, was die Mitglieder der Gemeinschaft tun soll, aber das lässt uns nur mit der Frage zurück: „Wie können wir wissen, was die volonte generale ist?“ und in dieser Frage ist er viel vager. Die Verpflichtung gilt der volonte generale, die unter ganz bestimmten Bedingungen ziemlich zuverlässig durch Mehrheitsbeschluss in einer Volksversammlung feststellbar ist. Aber das muss nicht immer so sein – das Volk kann sich irren oder täuschen oder durch Fraktionismus in die Irre führen, und in diesem Fall besteht er darauf, dass die volonte generale nicht falsch ist, sondern nur schweigt.329 Kraft dessen, was sie ist, ist die volonte generale immer was es sollte sein.330 (Die zweite Aussage, die normalerweise an solchen Stellen zitiert wird, nämlich dass die „volonte generale est toujours droite“,331 mehr auf Übersetzungsfehlern als auf irgendetwas anderem beruht.) Das ist ziemlich konsistent mit Rousseau – die volonte generale ist nicht die Mehrheitsvotum, sondern wird von ihm unter idealen Umständen lediglich entdeckt – aber es scheint ein kleiner Trost und wenig positiver Nutzen für denjenigen zu sein, der gegen eine irregeführte Mehrheit gestimmt hat und sich dennoch verpflichtet fühlt, sich einer Entscheidung zu widersetzen, die seiner Meinung nach dem Interet Commun positiv schadet . In gewissem Sinne scheint der Einzelne berechtigt zu sein, seine Opposition fortzusetzen, weil er der volonte generale verpflichtet ist und nicht dem Mehrheitsvotum als ihrer unvollkommenen Stimme; aber Rousseau wollte, dass die Minderheit zugibt, dass sie sich geirrt hat, und obwohl dies vernünftig ist, wenn die Mehrheit ernsthaft motiviert ist, ist es gefährlich, wenn das Mittel so erklärtermaßen fehlbar ist. Wie Wolff argumentiert, vereinfacht Rousseau das Problem zu sehr bis zum Punkt des Irrtums. Wir haben drei verschiedene Möglichkeiten: Erstens können die Bürger nach individuellem Interesse abstimmen (keine volonte generale, keine Verpflichtung); zweitens können die Bürger die volonte generale und das interet commun beabsichtigen, aber aus Unwissenheit oder Irrtum verfehlen; Drittens können die Bürger die volonte generale beabsichtigen und erfolgreich verwirklichen. Rousseaus Argumente zu diesem Punkt scheinen auf der Annahme zu beruhen, dass der zweite Fall nicht eintreten wird oder kann.332 Wenn er also auftaucht, beginnt die Argumentation auseinanderzufallen, und ein so korrekt abweichender Mensch würde zweifellos bestraft, ja sogar hingerichtet werden , im Namen der volonte generale, der er nur dienen wollte und die er (objektiv) vertrat. Es kann nicht gesagt werden, dass Rousseau selbst sich der Probleme, die er sich selbst hinterlassen hat, voll bewusst war, indem er vorschlug, seine volonte generale durch einen unvollkommenen Mechanismus in Form einer Volksversammlung auffindbar zu machen. Der Mangel an echtem (liberalem) Individualismus in seinem Ansatz zeigt sich anschaulich durch seine völlige Blindheit oder Gleichgültigkeit gegenüber dem moralischen Dilemma des Einzelnen, wenn der ernsthafte Verdacht besteht, dass die Mehrheit bei der Suche nach der volonte generale möglicherweise nicht angemessen funktioniert. Verteidigung ist jedoch nicht unmöglich. Man könnte den Fluchtweg per Definition nehmen und sagen, wenn die Mehrheit, entweder aus Unwissenheit oder aus bösem Willen, die volonte generale durch ihre Überlegungen nicht entdeckt, dann sind wir per Definition nicht mehr im legitimen Zustand mit dem offensichtlichen Ergebnis dass Rousseaus Antworten nicht mehr passen, weil sie nicht mehr passen sollen; Solche Dilemmata sind ein fester Bestandteil des tugendhaften Individuums in der korrupten Gesellschaft und nicht zu verwundern. Alternativ und plausibler als eine ernsthafte Verteidigung könnte vorgeschlagen werden, dass er im Interesse der Tugend den legitimen Staat über das Individuum stellte; die frage der organisation und der grundmotivation ist so wichtig, dass sachliche fehler auf dem weg als nebensächlich abgetan werden können.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21"/>
        <w:keepNext w:val="false"/>
        <w:keepLines w:val="false"/>
        <w:widowControl w:val="false"/>
        <w:numPr>
          <w:ilvl w:val="0"/>
          <w:numId w:val="27"/>
        </w:numPr>
        <w:shd w:val="clear" w:color="auto" w:fill="auto"/>
        <w:tabs>
          <w:tab w:val="clear" w:pos="720"/>
          <w:tab w:val="left" w:pos="639" w:leader="none"/>
        </w:tabs>
        <w:bidi w:val="0"/>
        <w:spacing w:lineRule="auto" w:line="189" w:before="0" w:after="0"/>
        <w:ind w:left="0" w:right="0" w:firstLine="240"/>
        <w:jc w:val="left"/>
        <w:rPr/>
      </w:pPr>
      <w:r>
        <w:rPr>
          <w:color w:val="000000"/>
          <w:spacing w:val="0"/>
          <w:w w:val="100"/>
          <w:shd w:fill="auto" w:val="clear"/>
          <w:lang w:val="en-US" w:eastAsia="en-US" w:bidi="en-US"/>
        </w:rPr>
        <w:t>Thomson, „Rousseau und der allgemeine Wille“, S. 97.</w:t>
      </w:r>
    </w:p>
    <w:p>
      <w:pPr>
        <w:pStyle w:val="Flietext21"/>
        <w:keepNext w:val="false"/>
        <w:keepLines w:val="false"/>
        <w:widowControl w:val="false"/>
        <w:numPr>
          <w:ilvl w:val="0"/>
          <w:numId w:val="27"/>
        </w:numPr>
        <w:shd w:val="clear" w:color="auto" w:fill="auto"/>
        <w:tabs>
          <w:tab w:val="clear" w:pos="720"/>
          <w:tab w:val="left" w:pos="639" w:leader="none"/>
        </w:tabs>
        <w:bidi w:val="0"/>
        <w:spacing w:lineRule="auto" w:line="189" w:before="0" w:after="0"/>
        <w:ind w:left="0" w:right="0" w:firstLine="240"/>
        <w:jc w:val="left"/>
        <w:rPr/>
      </w:pPr>
      <w:r>
        <w:rPr>
          <w:color w:val="000000"/>
          <w:spacing w:val="0"/>
          <w:w w:val="100"/>
          <w:shd w:fill="auto" w:val="clear"/>
          <w:lang w:val="en-US" w:eastAsia="en-US" w:bidi="en-US"/>
        </w:rPr>
        <w:t>Vgl. zB Rousseau, On the Social Contract, Teil II, Kap. ix.</w:t>
      </w:r>
    </w:p>
    <w:p>
      <w:pPr>
        <w:pStyle w:val="Flietext21"/>
        <w:keepNext w:val="false"/>
        <w:keepLines w:val="false"/>
        <w:widowControl w:val="false"/>
        <w:numPr>
          <w:ilvl w:val="0"/>
          <w:numId w:val="27"/>
        </w:numPr>
        <w:shd w:val="clear" w:color="auto" w:fill="auto"/>
        <w:tabs>
          <w:tab w:val="clear" w:pos="720"/>
          <w:tab w:val="left" w:pos="639" w:leader="none"/>
        </w:tabs>
        <w:bidi w:val="0"/>
        <w:spacing w:lineRule="auto" w:line="189" w:before="0" w:after="0"/>
        <w:ind w:left="0" w:right="0" w:firstLine="240"/>
        <w:jc w:val="left"/>
        <w:rPr/>
      </w:pPr>
      <w:r>
        <w:rPr>
          <w:color w:val="000000"/>
          <w:spacing w:val="0"/>
          <w:w w:val="100"/>
          <w:shd w:fill="auto" w:val="clear"/>
          <w:lang w:val="en-US" w:eastAsia="en-US" w:bidi="en-US"/>
        </w:rPr>
        <w:t>Rousseau, Der Gesellschaftsvertrag, Bk. IV, Kap. ich, p. 308.</w:t>
      </w:r>
    </w:p>
    <w:p>
      <w:pPr>
        <w:pStyle w:val="Flietext21"/>
        <w:keepNext w:val="false"/>
        <w:keepLines w:val="false"/>
        <w:widowControl w:val="false"/>
        <w:numPr>
          <w:ilvl w:val="0"/>
          <w:numId w:val="27"/>
        </w:numPr>
        <w:shd w:val="clear" w:color="auto" w:fill="auto"/>
        <w:tabs>
          <w:tab w:val="clear" w:pos="720"/>
          <w:tab w:val="left" w:pos="639" w:leader="none"/>
        </w:tabs>
        <w:bidi w:val="0"/>
        <w:spacing w:lineRule="auto" w:line="189" w:before="0" w:after="0"/>
        <w:ind w:left="0" w:right="0" w:firstLine="240"/>
        <w:jc w:val="left"/>
        <w:rPr/>
      </w:pPr>
      <w:r>
        <w:rPr>
          <w:color w:val="000000"/>
          <w:spacing w:val="0"/>
          <w:w w:val="100"/>
          <w:shd w:fill="auto" w:val="clear"/>
          <w:lang w:val="en-US" w:eastAsia="en-US" w:bidi="en-US"/>
        </w:rPr>
        <w:t>Rousseau, Der Gesellschaftsvertrag, Bk. II, Kap. iii, p. 252.</w:t>
      </w:r>
    </w:p>
    <w:p>
      <w:pPr>
        <w:pStyle w:val="Flietext21"/>
        <w:keepNext w:val="false"/>
        <w:keepLines w:val="false"/>
        <w:widowControl w:val="false"/>
        <w:numPr>
          <w:ilvl w:val="0"/>
          <w:numId w:val="27"/>
        </w:numPr>
        <w:shd w:val="clear" w:color="auto" w:fill="auto"/>
        <w:tabs>
          <w:tab w:val="clear" w:pos="720"/>
          <w:tab w:val="left" w:pos="639" w:leader="none"/>
        </w:tabs>
        <w:bidi w:val="0"/>
        <w:spacing w:lineRule="auto" w:line="189" w:before="0" w:after="0"/>
        <w:ind w:left="0" w:right="0" w:firstLine="240"/>
        <w:jc w:val="left"/>
        <w:rPr/>
      </w:pPr>
      <w:r>
        <w:rPr>
          <w:color w:val="000000"/>
          <w:spacing w:val="0"/>
          <w:w w:val="100"/>
          <w:shd w:fill="auto" w:val="clear"/>
          <w:lang w:val="en-US" w:eastAsia="en-US" w:bidi="en-US"/>
        </w:rPr>
        <w:t>Rousseau, Der Gesellschaftsvertrag, Bk. Ich, Ch. VII, p. 246.</w:t>
      </w:r>
    </w:p>
    <w:p>
      <w:pPr>
        <w:pStyle w:val="Flietext21"/>
        <w:keepNext w:val="false"/>
        <w:keepLines w:val="false"/>
        <w:widowControl w:val="false"/>
        <w:numPr>
          <w:ilvl w:val="0"/>
          <w:numId w:val="27"/>
        </w:numPr>
        <w:shd w:val="clear" w:color="auto" w:fill="auto"/>
        <w:tabs>
          <w:tab w:val="clear" w:pos="720"/>
          <w:tab w:val="left" w:pos="639" w:leader="none"/>
        </w:tabs>
        <w:bidi w:val="0"/>
        <w:spacing w:lineRule="auto" w:line="189" w:before="0" w:after="0"/>
        <w:ind w:left="0" w:right="0" w:firstLine="240"/>
        <w:jc w:val="left"/>
        <w:rPr/>
      </w:pPr>
      <w:r>
        <w:rPr>
          <w:color w:val="000000"/>
          <w:spacing w:val="0"/>
          <w:w w:val="100"/>
          <w:shd w:fill="auto" w:val="clear"/>
          <w:lang w:val="en-US" w:eastAsia="en-US" w:bidi="en-US"/>
        </w:rPr>
        <w:t>Rousseau, Der Gesellschaftsvertrag, Bk. II, Kap. iii, p. 252.</w:t>
      </w:r>
    </w:p>
    <w:p>
      <w:pPr>
        <w:pStyle w:val="Flietext21"/>
        <w:keepNext w:val="false"/>
        <w:keepLines w:val="false"/>
        <w:widowControl w:val="false"/>
        <w:numPr>
          <w:ilvl w:val="0"/>
          <w:numId w:val="27"/>
        </w:numPr>
        <w:shd w:val="clear" w:color="auto" w:fill="auto"/>
        <w:tabs>
          <w:tab w:val="clear" w:pos="720"/>
          <w:tab w:val="left" w:pos="639" w:leader="none"/>
        </w:tabs>
        <w:bidi w:val="0"/>
        <w:spacing w:lineRule="auto" w:line="189" w:before="0" w:after="200"/>
        <w:ind w:left="0" w:right="0" w:firstLine="240"/>
        <w:jc w:val="left"/>
        <w:rPr/>
      </w:pPr>
      <w:r>
        <w:rPr>
          <w:color w:val="000000"/>
          <w:spacing w:val="0"/>
          <w:w w:val="100"/>
          <w:shd w:fill="auto" w:val="clear"/>
          <w:lang w:val="en-US" w:eastAsia="en-US" w:bidi="en-US"/>
        </w:rPr>
        <w:t>Wolff, Zur Verteidigung des Anarchismus, S. 56.</w:t>
      </w:r>
    </w:p>
    <w:p>
      <w:pPr>
        <w:pStyle w:val="Flietext1"/>
        <w:keepNext w:val="false"/>
        <w:keepLines w:val="false"/>
        <w:widowControl w:val="false"/>
        <w:shd w:val="clear" w:color="auto" w:fill="auto"/>
        <w:bidi w:val="0"/>
        <w:spacing w:before="0" w:after="120"/>
        <w:ind w:left="0" w:right="0" w:firstLine="260"/>
        <w:jc w:val="both"/>
        <w:rPr/>
      </w:pPr>
      <w:r>
        <w:rPr>
          <w:color w:val="000000"/>
          <w:spacing w:val="0"/>
          <w:w w:val="100"/>
          <w:shd w:fill="auto" w:val="clear"/>
          <w:lang w:val="en-US" w:eastAsia="en-US" w:bidi="en-US"/>
        </w:rPr>
        <w:t>Rousseaus Problem ist, wie er gewöhnlich dargestellt wird, weniger die Organisation der Gemeinschaft als vielmehr die Anthropomorphisierung des Gemeinwohls. Das Konzept eines im politischen Bereich anzustrebenden Gemeinwohls ist ein immer wiederkehrendes Thema in der politischen Philosophie; daraus folgt aber nicht, dass es einen einzigen auf dieses Gemeinwohl gerichteten Willen gibt, geschweige denn, dass dieser „allgemeine Wille“ der „wirkliche“ Wille des einzelnen Bürgers ist, so dass der Zwang in seinem Namen zur Freiheit wird.“568 So dargestellt , Rousseau scheint eine zweifelhafte Variante des kartesischen cogito ergo sum (oder genauer gesagt dubito ergo sum) zu verwenden,569 die selbst nicht über der Kritik steht. Was er zu sagen scheint, ist, dass es ein gemeinsames Gut gibt, das zum Wesen einer Gemeinschaft gehört, dass dieses Gut gewollt wird, und daher muss dieser Wille in jeder wahren Gemeinschaft als oder in einer moralischen Überperson – das heißt einer Art – existieren von volo ergo sum nur in dritter Person.335 Bei Rousseau wie bei Descartes zieht dieses „ist“ dann sowohl Persönlichkeit als auch Einheit nach sich. Was passiert ist, ist, dass ein Passiv heimlich in ein Aktiv verschoben wurde – aus einem Gemeingut, das gewollt werden muss/sollte, wurde ein gemeinsamer Wille, der es wollen muss, abgeleitet.</w:t>
      </w:r>
    </w:p>
    <w:p>
      <w:pPr>
        <w:pStyle w:val="Flietext21"/>
        <w:keepNext w:val="false"/>
        <w:keepLines w:val="false"/>
        <w:widowControl w:val="false"/>
        <w:shd w:val="clear" w:color="auto" w:fill="auto"/>
        <w:bidi w:val="0"/>
        <w:spacing w:lineRule="auto" w:line="240" w:before="0" w:after="0"/>
        <w:ind w:left="0" w:right="0" w:hanging="0"/>
        <w:jc w:val="both"/>
        <w:rPr/>
      </w:pPr>
      <w:r>
        <w:rPr>
          <w:color w:val="000000"/>
          <w:spacing w:val="0"/>
          <w:w w:val="100"/>
          <w:shd w:fill="auto" w:val="clear"/>
          <w:lang w:val="en-US" w:eastAsia="en-US" w:bidi="en-US"/>
        </w:rPr>
        <w:t>als Gehorsam gegenüber einem selbst auferlegten Gesetz. Es ist nicht ganz klar, ob Rousseau die moralische Freiheit als Teil der Eigenschaften des idealen Bürgers meinte (im Gegensatz zu etwa einer dritten Alternative zur natürlichen Freiheit und bürgerlichen Freiheit, die dem „Menschen am Rande der Gesellschaft“ entspricht “), aber es scheint mir naheliegend, dass er nicht beabsichtigte, auf diese Weise „zur Freiheit gezwungen“ zu werden.</w:t>
      </w:r>
    </w:p>
    <w:p>
      <w:pPr>
        <w:pStyle w:val="Flietext21"/>
        <w:keepNext w:val="false"/>
        <w:keepLines w:val="false"/>
        <w:widowControl w:val="false"/>
        <w:numPr>
          <w:ilvl w:val="0"/>
          <w:numId w:val="28"/>
        </w:numPr>
        <w:shd w:val="clear" w:color="auto" w:fill="auto"/>
        <w:tabs>
          <w:tab w:val="clear" w:pos="720"/>
          <w:tab w:val="left" w:pos="634" w:leader="none"/>
        </w:tabs>
        <w:bidi w:val="0"/>
        <w:spacing w:lineRule="auto" w:line="189" w:before="0" w:after="200"/>
        <w:ind w:left="0" w:right="0" w:firstLine="240"/>
        <w:jc w:val="left"/>
        <w:rPr/>
      </w:pPr>
      <w:r>
        <w:rPr>
          <w:color w:val="000000"/>
          <w:spacing w:val="0"/>
          <w:w w:val="100"/>
          <w:shd w:fill="auto" w:val="clear"/>
          <w:lang w:val="en-US" w:eastAsia="en-US" w:bidi="en-US"/>
        </w:rPr>
        <w:t>Vgl. Arendt, Conditio humana, S. 254.</w:t>
      </w:r>
    </w:p>
    <w:p>
      <w:pPr>
        <w:pStyle w:val="Flietext1"/>
        <w:keepNext w:val="false"/>
        <w:keepLines w:val="false"/>
        <w:widowControl w:val="false"/>
        <w:shd w:val="clear" w:color="auto" w:fill="auto"/>
        <w:bidi w:val="0"/>
        <w:spacing w:before="0" w:after="260"/>
        <w:ind w:left="0" w:right="0" w:firstLine="280"/>
        <w:jc w:val="both"/>
        <w:rPr/>
      </w:pPr>
      <w:r>
        <w:rPr>
          <w:color w:val="000000"/>
          <w:spacing w:val="0"/>
          <w:w w:val="100"/>
          <w:shd w:fill="auto" w:val="clear"/>
          <w:lang w:val="en-US" w:eastAsia="en-US" w:bidi="en-US"/>
        </w:rPr>
        <w:t>Bei solchen Interpretationen scheinen Kommentatoren Rousseau gerne als anti-individualistischen Totalitaristen zu verurteilen. Es ist jedoch alles andere als klar, dass dieses Argument, weit davon entfernt, die innerste Wahrheit von Rousseau zu sein, ihm nicht durch eine voreilige Übersetzung von volonte generale gezeugt wurde, gepaart mit dem Wunsch, diesen so abgeleiteten „allgemeinen Willen“ als Gemeinschaftsgeist zu sehen , eine Art vorhegelianische Junior-Grade-Version des Weltgeistes.336 Der Begriff volonte bedeutet zwar „Wille“ im Sinne von Wollen; es bedeutet aber auch „will“ im Sinne von Wunsch, Wunsch oder Vergnügen oder sogar (im Plural) whims oder phanties.337 Die starken Konnotationen des englischen Begriffs „will“ sind nur bedingt angemessen für volonte; In einer Reihe legitimer Verwendungen von volonte fehlen sie ziemlich. Jede Diskussion des zentralen Begriffs von Rousseau muss daher gebührend berücksichtigen, dass der französische Begriff etwas zweideutiger, sogar vager ist als der englische Begriff „will“, der normalerweise als Übersetzung verwendet wird; Allzu viele Berichte über seine politische Philosophie scheinen sich solcher Vorbehalte nicht bewusst zu sein.</w:t>
      </w:r>
    </w:p>
    <w:p>
      <w:pPr>
        <w:pStyle w:val="Flietext21"/>
        <w:keepNext w:val="false"/>
        <w:keepLines w:val="false"/>
        <w:widowControl w:val="false"/>
        <w:numPr>
          <w:ilvl w:val="0"/>
          <w:numId w:val="28"/>
        </w:numPr>
        <w:shd w:val="clear" w:color="auto" w:fill="auto"/>
        <w:tabs>
          <w:tab w:val="clear" w:pos="720"/>
          <w:tab w:val="left" w:pos="625" w:leader="none"/>
        </w:tabs>
        <w:bidi w:val="0"/>
        <w:spacing w:before="0" w:after="0"/>
        <w:ind w:left="0" w:right="0" w:firstLine="280"/>
        <w:jc w:val="both"/>
        <w:rPr/>
      </w:pPr>
      <w:r>
        <w:rPr>
          <w:color w:val="000000"/>
          <w:spacing w:val="0"/>
          <w:w w:val="100"/>
          <w:shd w:fill="auto" w:val="clear"/>
          <w:lang w:val="en-US" w:eastAsia="en-US" w:bidi="en-US"/>
        </w:rPr>
        <w:t>Das oberflächlich überzeugende Erscheinungsbild bezieht das Gerät zu einem großen Teil aus der privilegierten Stellung des Subjekts in romanischen Sprachen, was zu solchen parallelen Absurditäten führt wie das Beharren darauf, dass es etwas geben muss, das das Schneetreiben verursacht.</w:t>
      </w:r>
    </w:p>
    <w:p>
      <w:pPr>
        <w:pStyle w:val="Flietext21"/>
        <w:keepNext w:val="false"/>
        <w:keepLines w:val="false"/>
        <w:widowControl w:val="false"/>
        <w:numPr>
          <w:ilvl w:val="0"/>
          <w:numId w:val="28"/>
        </w:numPr>
        <w:shd w:val="clear" w:color="auto" w:fill="auto"/>
        <w:tabs>
          <w:tab w:val="clear" w:pos="720"/>
          <w:tab w:val="left" w:pos="625" w:leader="none"/>
        </w:tabs>
        <w:bidi w:val="0"/>
        <w:spacing w:lineRule="auto" w:line="232" w:before="0" w:after="0"/>
        <w:ind w:left="0" w:right="0" w:firstLine="280"/>
        <w:jc w:val="both"/>
        <w:rPr/>
      </w:pPr>
      <w:r>
        <w:rPr>
          <w:color w:val="000000"/>
          <w:spacing w:val="0"/>
          <w:w w:val="100"/>
          <w:shd w:fill="auto" w:val="clear"/>
          <w:lang w:val="en-US" w:eastAsia="en-US" w:bidi="en-US"/>
        </w:rPr>
        <w:t>Siehe z. B. Nisbet, „Rousseau and Totalitarianism“, S. 100. Sicherlich scheinen die Versuche, Rousseau als Machtwunsch für einen charismatischen Führer als die Verkörperung des Generals zu sehen, eher mit Hegels Bemerkung verwandt, nachdem er Napoleon gesehen hatte, dass er den Weltgeist auf einem weißen Pferd reiten sah (zitiert in Shlomo Avineri, „Hook's Hegel“, in Hegel's Political Philosophy, herausgegeben von Walter Kaufman (New York: Atherton, 1970), S. 74.) Ob dies auf Hegels Haltung hinweist oder nicht, es steht in keinem Zusammenhang mit irgendeiner Bemerkung, die Rousseau je gemacht hat das Thema, und scheint von Du Contrat Social, Teil II, Kap. ich.</w:t>
      </w:r>
    </w:p>
    <w:p>
      <w:pPr>
        <w:pStyle w:val="Flietext21"/>
        <w:keepNext w:val="false"/>
        <w:keepLines w:val="false"/>
        <w:widowControl w:val="false"/>
        <w:shd w:val="clear" w:color="auto" w:fill="auto"/>
        <w:bidi w:val="0"/>
        <w:spacing w:lineRule="auto" w:line="189" w:before="0" w:after="200"/>
        <w:ind w:left="0" w:right="0" w:firstLine="240"/>
        <w:jc w:val="left"/>
        <w:rPr/>
      </w:pPr>
      <w:r>
        <w:rPr>
          <w:color w:val="000000"/>
          <w:spacing w:val="0"/>
          <w:w w:val="100"/>
          <w:shd w:fill="auto" w:val="clear"/>
          <w:lang w:val="en-US" w:eastAsia="en-US" w:bidi="en-US"/>
        </w:rPr>
        <w:t>337 Modernes Französisch-Englisch-Wörterbuch (Paris: Librairie Larousse, 1960).</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Der andere Satz bei Rousseau, der zu solchen Hegelschen Interpretationen Anlass gibt, ist sein Hinweis auf die Tatsache, dass der Vertrag ein „un corps moral et collectif“ schafft , und dass der „allgemeine Wille“ der Wille dieser Überperson ist, als „der Wille des politischen Organismus, der ein ganz eigenes Leben hat, ganz abgesehen von dem der einzelnen Glieder, aus denen er aufgebaut ist“. ominöse Obertöne der Gemeinschaft als moralische Person, eine mystische Entität, die dem Einzelnen den Status eines moralischen Akteurs vorenthält.</w:t>
      </w:r>
    </w:p>
    <w:p>
      <w:pPr>
        <w:pStyle w:val="Flietext1"/>
        <w:keepNext w:val="false"/>
        <w:keepLines w:val="false"/>
        <w:widowControl w:val="false"/>
        <w:shd w:val="clear" w:color="auto" w:fill="auto"/>
        <w:bidi w:val="0"/>
        <w:spacing w:before="0" w:after="260"/>
        <w:ind w:left="0" w:right="0" w:firstLine="340"/>
        <w:jc w:val="both"/>
        <w:rPr/>
      </w:pPr>
      <w:r>
        <w:rPr>
          <w:color w:val="000000"/>
          <w:spacing w:val="0"/>
          <w:w w:val="100"/>
          <w:shd w:fill="auto" w:val="clear"/>
          <w:lang w:val="en-US" w:eastAsia="en-US" w:bidi="en-US"/>
        </w:rPr>
        <w:t>Doch dieses Gespenst scheint ein für alle Mal von Derathe ausgetrieben worden zu sein, der darauf besteht, dass der Ausdruck für Rousseau und seine Zeitgenossen keine solchen mystischen oder metaphysischen Untertöne hatte, sondern im Gegenteil eine vollkommen grundlegende und routinemäßige Unterscheidung war. Auf der einen Seite haben wir physische Wesen, die ursprünglich von der Schöpfung hervorgebracht wurden; andererseits haben wir moralische Wesen, die „durch den Willen intelligenter Wesen an Dinge gebunden sind, die bereits existieren und körperlich vollkommen sind“ oder allgemeiner „(o)n sagte, dass sie durch Institutionen geformt werden.“340 Das kann es auch nicht Es besteht der geringste Zweifel, dass Rousseau selbst diese Worte verwendet hat, um diese Unterscheidung anzudeuten. Im Zweiten Diskurs unterscheidet er zwischen „zwei Arten von Ungleichheiten“: Die erste nennt er „natürlich oder physisch, weil sie von der Natur festgelegt ist und die im Unterschied von Alter, Gesundheit und körperlichen Kräften besteht und die Qualitäten des Geistes oder der Seele“; und das zweite nennt er „moralisch oder politisch, weil es von einer Art Konvention abhängt und durch die Zustimmung der Menschen festgelegt oder zumindest autorisiert wird“. Letzteres „besteht in der Verschiedenheit von Privilegien, die einige auf Kosten anderer genießen, wie zum Beispiel reicher, geehrter, mächtiger zu sein oder sich ihnen sogar zu unterwerfen.“341 Mit anderen Worten, die Unterscheidung zwischen physischem Sein und moralisches Sein ist nur die zeitgenössische Version jener wichtigen Unterscheidung der Antike, die zwischen dem Natürlichen und dem Konventionellen. Den Staat in die zweite Kategorie aufzunehmen bedeutet für Rousseau nur, dass er mit anderen Worten wiederholt, dass er darauf besteht, dass die Familie die einzige natürliche Form menschlicher Gemeinschaft ist342, während der Staat nicht natürlich, sondern künstlich ist. Der springende Punkt der Gesellschaftsvertragstheorie ist, dass sich der Staat nicht spontan entwickelt hat, sondern das Produkt des menschlichen Willens ist, der auf das einwirkt, was natürlich ist – dass er nicht natürlich, sondern konventionell ist (in alten Begriffen), oder dass er eine Etre-Moral ist eher als ein Etre-Körperbau (in der Terminologie von Rousseau und seinen Zeitgenossen). Nur dies kann den umfassenden Einsatz von Zwang zur Eindämmung menschlichen Verhaltens rechtfertigen – und noch stärker den Einsatz politischer Mittel zur Umstrukturierung der psychologischen Verfassung von Individuen – denn wenn der Staat natürlich wäre und nicht das Produkt des menschlichen Willens , dann wären solche strengen Maßnahmen unnötig und man brauchte die Menschen nur sie selbst sein zu lassen. Es ist daher für Rousseau wichtig, den Staat als eine solche Entität zu spezifizieren, und nur indem wir den Ausdruck nicht nur aus seinem literarischen Kontext, sondern auch aus seinem historischen Kontext herausreißen, können wir versuchen, ihn zu verwenden, um Rousseau zu malen als Kollektivist. Derathe konnte den Punkt nicht stärker betonen, indem er darauf bestand, dass „Rousseau a dit et repete que l’etat est ‚un corps artificiel‘ ou ‚un etre moral‘ qui doit sonexistence au pacte social. Pour lui, une collectivite quelconque n'est qu'une somme d'individus unis par une convention“343 Die moralische Superperson verschwindet als Hirngespinst einer fehlerhaften Übersetzung. Natürlich hätte man dasselbe Verständnis erreichen können, ohne auf die Verwendung des Wortes „Moral“ im 18. Jahrhundert zurückblicken zu müssen, wenn man Rousseau nur beim Wort genommen hätte, wenn er erklärt: „le souverain, n'etant forme que des particuliers qui le composent, n'a ni ne peut avoir d'interet contraire aux leur.“ 344 Viele der oft erwähnten Widersprüche Rousseaus scheinen das Produkt fehlerhafter Interpretationen zu sein.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21"/>
        <w:keepNext w:val="false"/>
        <w:keepLines w:val="false"/>
        <w:widowControl w:val="false"/>
        <w:numPr>
          <w:ilvl w:val="0"/>
          <w:numId w:val="29"/>
        </w:numPr>
        <w:shd w:val="clear" w:color="auto" w:fill="auto"/>
        <w:tabs>
          <w:tab w:val="clear" w:pos="720"/>
          <w:tab w:val="left" w:pos="650" w:leader="none"/>
        </w:tabs>
        <w:bidi w:val="0"/>
        <w:spacing w:lineRule="auto" w:line="240" w:before="0" w:after="0"/>
        <w:ind w:left="0" w:right="0" w:firstLine="260"/>
        <w:jc w:val="both"/>
        <w:rPr/>
      </w:pPr>
      <w:r>
        <w:rPr>
          <w:color w:val="000000"/>
          <w:spacing w:val="0"/>
          <w:w w:val="100"/>
          <w:shd w:fill="auto" w:val="clear"/>
          <w:lang w:val="en-US" w:eastAsia="en-US" w:bidi="en-US"/>
        </w:rPr>
        <w:t>Rousseau, Über den Gesellschaftsvertrag, Bk. I, Kap. VI, p. 244.</w:t>
      </w:r>
    </w:p>
    <w:p>
      <w:pPr>
        <w:pStyle w:val="Flietext21"/>
        <w:keepNext w:val="false"/>
        <w:keepLines w:val="false"/>
        <w:widowControl w:val="false"/>
        <w:numPr>
          <w:ilvl w:val="0"/>
          <w:numId w:val="29"/>
        </w:numPr>
        <w:shd w:val="clear" w:color="auto" w:fill="auto"/>
        <w:tabs>
          <w:tab w:val="clear" w:pos="720"/>
          <w:tab w:val="left" w:pos="650" w:leader="none"/>
        </w:tabs>
        <w:bidi w:val="0"/>
        <w:spacing w:lineRule="auto" w:line="220" w:before="0" w:after="0"/>
        <w:ind w:left="0" w:right="0" w:firstLine="260"/>
        <w:jc w:val="both"/>
        <w:rPr/>
      </w:pPr>
      <w:r>
        <w:rPr>
          <w:color w:val="000000"/>
          <w:spacing w:val="0"/>
          <w:w w:val="100"/>
          <w:shd w:fill="auto" w:val="clear"/>
          <w:lang w:val="en-US" w:eastAsia="en-US" w:bidi="en-US"/>
        </w:rPr>
        <w:t>Nisbet, „Rousseau und der Totalitarismus“, S. 100.</w:t>
      </w:r>
    </w:p>
    <w:p>
      <w:pPr>
        <w:pStyle w:val="Flietext21"/>
        <w:keepNext w:val="false"/>
        <w:keepLines w:val="false"/>
        <w:widowControl w:val="false"/>
        <w:numPr>
          <w:ilvl w:val="0"/>
          <w:numId w:val="29"/>
        </w:numPr>
        <w:shd w:val="clear" w:color="auto" w:fill="auto"/>
        <w:tabs>
          <w:tab w:val="clear" w:pos="720"/>
          <w:tab w:val="left" w:pos="650" w:leader="none"/>
        </w:tabs>
        <w:bidi w:val="0"/>
        <w:spacing w:before="0" w:after="0"/>
        <w:ind w:left="0" w:right="0" w:firstLine="260"/>
        <w:jc w:val="left"/>
        <w:rPr/>
      </w:pPr>
      <w:r>
        <w:rPr>
          <w:color w:val="000000"/>
          <w:spacing w:val="0"/>
          <w:w w:val="100"/>
          <w:shd w:fill="auto" w:val="clear"/>
          <w:lang w:val="en-US" w:eastAsia="en-US" w:bidi="en-US"/>
        </w:rPr>
        <w:t>De;rathe, Jean-Jacques Rousseau und die Politikwissenschaft seiner Zeit, S. 398.</w:t>
      </w:r>
    </w:p>
    <w:p>
      <w:pPr>
        <w:pStyle w:val="Flietext21"/>
        <w:keepNext w:val="false"/>
        <w:keepLines w:val="false"/>
        <w:widowControl w:val="false"/>
        <w:numPr>
          <w:ilvl w:val="0"/>
          <w:numId w:val="29"/>
        </w:numPr>
        <w:shd w:val="clear" w:color="auto" w:fill="auto"/>
        <w:tabs>
          <w:tab w:val="clear" w:pos="720"/>
          <w:tab w:val="left" w:pos="650" w:leader="none"/>
        </w:tabs>
        <w:bidi w:val="0"/>
        <w:spacing w:lineRule="auto" w:line="216" w:before="0" w:after="0"/>
        <w:ind w:left="0" w:right="0" w:firstLine="260"/>
        <w:jc w:val="left"/>
        <w:rPr/>
      </w:pPr>
      <w:r>
        <w:rPr>
          <w:color w:val="000000"/>
          <w:spacing w:val="0"/>
          <w:w w:val="100"/>
          <w:shd w:fill="auto" w:val="clear"/>
          <w:lang w:val="en-US" w:eastAsia="en-US" w:bidi="en-US"/>
        </w:rPr>
        <w:t>Rousseau, Zweiter Diskurs, S. 39.</w:t>
      </w:r>
    </w:p>
    <w:p>
      <w:pPr>
        <w:pStyle w:val="Flietext21"/>
        <w:keepNext w:val="false"/>
        <w:keepLines w:val="false"/>
        <w:widowControl w:val="false"/>
        <w:numPr>
          <w:ilvl w:val="0"/>
          <w:numId w:val="29"/>
        </w:numPr>
        <w:shd w:val="clear" w:color="auto" w:fill="auto"/>
        <w:tabs>
          <w:tab w:val="clear" w:pos="720"/>
          <w:tab w:val="left" w:pos="650" w:leader="none"/>
        </w:tabs>
        <w:bidi w:val="0"/>
        <w:spacing w:lineRule="auto" w:line="228" w:before="0" w:after="0"/>
        <w:ind w:left="0" w:right="0" w:firstLine="260"/>
        <w:jc w:val="left"/>
        <w:rPr/>
      </w:pPr>
      <w:r>
        <w:rPr>
          <w:color w:val="000000"/>
          <w:spacing w:val="0"/>
          <w:w w:val="100"/>
          <w:shd w:fill="auto" w:val="clear"/>
          <w:lang w:val="en-US" w:eastAsia="en-US" w:bidi="en-US"/>
        </w:rPr>
        <w:t>Rousseau, Der Gesellschaftsvertrag, Bk. Ich, Ch. ii, p. 236.</w:t>
      </w:r>
    </w:p>
    <w:p>
      <w:pPr>
        <w:pStyle w:val="Flietext21"/>
        <w:keepNext w:val="false"/>
        <w:keepLines w:val="false"/>
        <w:widowControl w:val="false"/>
        <w:numPr>
          <w:ilvl w:val="0"/>
          <w:numId w:val="29"/>
        </w:numPr>
        <w:shd w:val="clear" w:color="auto" w:fill="auto"/>
        <w:tabs>
          <w:tab w:val="clear" w:pos="720"/>
          <w:tab w:val="left" w:pos="650" w:leader="none"/>
        </w:tabs>
        <w:bidi w:val="0"/>
        <w:spacing w:lineRule="auto" w:line="220" w:before="0" w:after="0"/>
        <w:ind w:left="0" w:right="0" w:firstLine="260"/>
        <w:jc w:val="left"/>
        <w:rPr/>
      </w:pPr>
      <w:r>
        <w:rPr>
          <w:color w:val="000000"/>
          <w:spacing w:val="0"/>
          <w:w w:val="100"/>
          <w:shd w:fill="auto" w:val="clear"/>
          <w:lang w:val="en-US" w:eastAsia="en-US" w:bidi="en-US"/>
        </w:rPr>
        <w:t>Derathe, Rousseau und die Politikwissenschaft, S. 288.</w:t>
      </w:r>
    </w:p>
    <w:p>
      <w:pPr>
        <w:pStyle w:val="Flietext21"/>
        <w:keepNext w:val="false"/>
        <w:keepLines w:val="false"/>
        <w:widowControl w:val="false"/>
        <w:numPr>
          <w:ilvl w:val="0"/>
          <w:numId w:val="29"/>
        </w:numPr>
        <w:shd w:val="clear" w:color="auto" w:fill="auto"/>
        <w:tabs>
          <w:tab w:val="clear" w:pos="720"/>
          <w:tab w:val="left" w:pos="650" w:leader="none"/>
        </w:tabs>
        <w:bidi w:val="0"/>
        <w:spacing w:before="0" w:after="200"/>
        <w:ind w:left="0" w:right="0" w:firstLine="260"/>
        <w:jc w:val="left"/>
        <w:rPr/>
      </w:pPr>
      <w:r>
        <w:rPr>
          <w:color w:val="000000"/>
          <w:spacing w:val="0"/>
          <w:w w:val="100"/>
          <w:shd w:fill="auto" w:val="clear"/>
          <w:lang w:val="en-US" w:eastAsia="en-US" w:bidi="en-US"/>
        </w:rPr>
        <w:t>Rousseau, Der Gesellschaftsvertrag, Bk. Ich, Ch. VII, p. 246.</w:t>
      </w:r>
    </w:p>
    <w:p>
      <w:pPr>
        <w:pStyle w:val="Flietext1"/>
        <w:keepNext w:val="false"/>
        <w:keepLines w:val="false"/>
        <w:widowControl w:val="false"/>
        <w:shd w:val="clear" w:color="auto" w:fill="auto"/>
        <w:bidi w:val="0"/>
        <w:spacing w:before="0" w:after="260"/>
        <w:ind w:left="0" w:right="0" w:firstLine="260"/>
        <w:jc w:val="both"/>
        <w:rPr/>
      </w:pPr>
      <w:r>
        <w:rPr>
          <w:color w:val="000000"/>
          <w:spacing w:val="0"/>
          <w:w w:val="100"/>
          <w:shd w:fill="auto" w:val="clear"/>
          <w:lang w:val="en-US" w:eastAsia="en-US" w:bidi="en-US"/>
        </w:rPr>
        <w:t>Sobald die scheinbare Starrheit des „allgemeinen Willens“ zugunsten einer angemesseneren Übersetzung gelockert ist und die etre moral ihre mystischen Obertöne ablegen darf, ist es notwendig, einen anderen Ansatz zum Verständnis des Konzepts zu wählen. Runciman und Sen schlagen vor, die volonte generale mit langfristigen Vorteilen zu vergleichen, die nur durch Zusammenarbeit erzielt werden können – ihr Beispiel ist eine Variante des Gefangenendilemmas, bei dem zwei Gefangene zwischen einer Zusammenarbeit wählen müssen, um einer Verurteilung wegen einer schweren Anklage zu entgehen, oder einem Verkauf andere mit dem Staatsanwalt aushandeln, wobei die Vorteile einer solchen Zusammenarbeit die volonte generale verdeutlichen.345 Ein solches Argument hat sowohl Vor- als auch Nachteile. Sein Hauptvorteil besteht darin, dass er betont, inwieweit die Verwirklichung der volonte generale nur durch Kooperation möglich ist. Unglücklicherweise besteht ihr Mangel darin, dass sie dazu neigt, die volonte generale auf eine Frage des Nutzens zu reduzieren.346 Die Fallstricke dieses Ansatzes werden deutlich durch Halls Reduktion347 der volonte generale auf eine Vektorsumme individueller Willen aufgezeigt, die darauf abzielt, die Gewinne und Befriedigungen zu maximieren der als Einzelpersonen betrachteten Bürger unter Berufung auf die mehrdeutige Passage von CS II iii als Beweis. Eine solche Reduktion ist höchst destruktiv; Es ist offensichtlich ein sowohl nützlicher als auch notwendiger Schritt, Interpretationen abzulehnen, die die volonte generale zu einer alles absorbierenden moralischen Superperson machen, aber das zwingt uns nicht zum entgegengesetzten Extrem, sie als französische Version von Adam Smiths „Unsichtbare Hand“ zu sehen. Sein Zusammenhang mit dem Gemeinwohl kann nicht ignoriert oder unterschätzt werden; Eine Gemeinschaft ist ihrem Wesen nach so beschaffen, dass sie ein allen ihren Bürgern gemeinsames Interesse oder Wohl hat, auf das die volonte generale gerichtet ist. (Insofern ist die quasi-kartesische Reduktion nicht ungerecht. ) Dieses Gemeinwohl ist der Kern des Gemeinschaftsbegriffs; wo eine Handlung das Gemeinwohl einer Gruppe nur auf Kosten des Gemeinwohls einer anderen Gruppe fördert, dann kann in dieser Frage nicht mehr von einer volonte generale beider Gruppen zusammen gesprochen werden. Aber es ist ebenso wichtig, dass wir die hochgradig moralistischen Untertöne von Rousseaus Behandlung nicht aus den Augen verlieren; Seine volonte generale befasst sich weder mit Kriminellen, die ihre Inhaftierung minimieren,348 noch mit Bürgern, die ihre privaten Interessen vertreten. Vielmehr geht es darum, die moralischen Fähigkeiten des Menschen zu verwirklichen, indem man die unnatürlichen Wünsche der Bürger einschränkt und die Menschen innerhalb eines legitimen Staates zu Tugend und wahrer Freiheit führt.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21"/>
        <w:keepNext w:val="false"/>
        <w:keepLines w:val="false"/>
        <w:widowControl w:val="false"/>
        <w:numPr>
          <w:ilvl w:val="0"/>
          <w:numId w:val="29"/>
        </w:numPr>
        <w:shd w:val="clear" w:color="auto" w:fill="auto"/>
        <w:tabs>
          <w:tab w:val="clear" w:pos="720"/>
          <w:tab w:val="left" w:pos="625" w:leader="none"/>
        </w:tabs>
        <w:bidi w:val="0"/>
        <w:spacing w:lineRule="auto" w:line="213" w:before="0" w:after="0"/>
        <w:ind w:left="0" w:right="0" w:firstLine="260"/>
        <w:jc w:val="both"/>
        <w:rPr/>
      </w:pPr>
      <w:r>
        <w:rPr>
          <w:color w:val="000000"/>
          <w:spacing w:val="0"/>
          <w:w w:val="100"/>
          <w:shd w:fill="auto" w:val="clear"/>
          <w:lang w:val="en-US" w:eastAsia="en-US" w:bidi="en-US"/>
        </w:rPr>
        <w:t>W. G. Runciman und A. K. Sen, „Games, Justice and the General Will“, in Mind, Bd. LXXIV (1965).</w:t>
      </w:r>
    </w:p>
    <w:p>
      <w:pPr>
        <w:pStyle w:val="Flietext21"/>
        <w:keepNext w:val="false"/>
        <w:keepLines w:val="false"/>
        <w:widowControl w:val="false"/>
        <w:numPr>
          <w:ilvl w:val="0"/>
          <w:numId w:val="29"/>
        </w:numPr>
        <w:shd w:val="clear" w:color="auto" w:fill="auto"/>
        <w:tabs>
          <w:tab w:val="clear" w:pos="720"/>
          <w:tab w:val="left" w:pos="639" w:leader="none"/>
        </w:tabs>
        <w:bidi w:val="0"/>
        <w:spacing w:lineRule="auto" w:line="189" w:before="0" w:after="0"/>
        <w:ind w:left="0" w:right="0" w:firstLine="240"/>
        <w:jc w:val="left"/>
        <w:rPr/>
      </w:pPr>
      <w:r>
        <w:rPr>
          <w:color w:val="000000"/>
          <w:spacing w:val="0"/>
          <w:w w:val="100"/>
          <w:shd w:fill="auto" w:val="clear"/>
          <w:lang w:val="en-US" w:eastAsia="en-US" w:bidi="en-US"/>
        </w:rPr>
        <w:t>Vgl. die Diskussion in J. Smyth, "The Prisoner's Dilemma, II", in Mind, Bd. LXXXI (1972).</w:t>
      </w:r>
    </w:p>
    <w:p>
      <w:pPr>
        <w:pStyle w:val="Flietext21"/>
        <w:keepNext w:val="false"/>
        <w:keepLines w:val="false"/>
        <w:widowControl w:val="false"/>
        <w:numPr>
          <w:ilvl w:val="0"/>
          <w:numId w:val="29"/>
        </w:numPr>
        <w:shd w:val="clear" w:color="auto" w:fill="auto"/>
        <w:tabs>
          <w:tab w:val="clear" w:pos="720"/>
          <w:tab w:val="left" w:pos="625" w:leader="none"/>
        </w:tabs>
        <w:bidi w:val="0"/>
        <w:spacing w:lineRule="auto" w:line="213" w:before="0" w:after="200"/>
        <w:ind w:left="0" w:right="0" w:firstLine="260"/>
        <w:jc w:val="both"/>
        <w:rPr/>
      </w:pPr>
      <w:r>
        <w:rPr>
          <w:color w:val="000000"/>
          <w:spacing w:val="0"/>
          <w:w w:val="100"/>
          <w:shd w:fill="auto" w:val="clear"/>
          <w:lang w:val="en-US" w:eastAsia="en-US" w:bidi="en-US"/>
        </w:rPr>
        <w:t>J. C. Hall, Rousseau: An Introduction to his Political Philosophy (London: Macmillan, 1973), passim.</w:t>
      </w:r>
    </w:p>
    <w:p>
      <w:pPr>
        <w:pStyle w:val="Flietext1"/>
        <w:keepNext w:val="false"/>
        <w:keepLines w:val="false"/>
        <w:widowControl w:val="false"/>
        <w:shd w:val="clear" w:color="auto" w:fill="auto"/>
        <w:bidi w:val="0"/>
        <w:spacing w:before="0" w:after="240"/>
        <w:ind w:left="0" w:right="0" w:firstLine="260"/>
        <w:jc w:val="both"/>
        <w:rPr/>
      </w:pPr>
      <w:r>
        <w:rPr>
          <w:color w:val="000000"/>
          <w:spacing w:val="0"/>
          <w:w w:val="100"/>
          <w:shd w:fill="auto" w:val="clear"/>
          <w:lang w:val="en-US" w:eastAsia="en-US" w:bidi="en-US"/>
        </w:rPr>
        <w:t>Zuzulassen, dass dem Gemeinwohl, auf das die volonte generale abzielt, irgendein Grad oder Unterton von Materialismus überlagert wird, oder sogar der „Glücks“-Aspekt davon betont wird,349 geschweige denn, es auf nichts anderes als „das gemeinsame Element im Unterschiedlichen“ zu reduzieren Interessen“ oder gar „Erhaltung“350 ist Rousseau völlig falsch zu verstehen. Sein Anliegen in Du Contrat Social ist der tugendhafte Zustand,351 nicht der glückliche Zustand oder der zufriedene Zustand. Sparta ist natürlich eines von Rousseaus Lieblingsbeispielen, aber es neigt dazu, für einen solchen Zweck weniger als vollständig verstanden zu werden, weil man sich heute hauptsächlich wegen seiner militärischen Errungenschaften und seiner Existenz als Garnisonsstaat an es erinnert; Dies war jedoch nicht der einzige Kontext spartanischer Leistung. Alle Griechen wissen, was richtig ist, hieß es im zeitgenössischen Hellas, aber die Spartaner tun es.352 Die Spartaner waren nicht nur grimmig militaristisch, sondern auch tugendhaft; daher ist der lakonische Staat ein ausgezeichnetes Beispiel, um Rousseaus Absicht zu veranschaulichen.</w:t>
      </w:r>
    </w:p>
    <w:p>
      <w:pPr>
        <w:pStyle w:val="Flietext21"/>
        <w:keepNext w:val="false"/>
        <w:keepLines w:val="false"/>
        <w:widowControl w:val="false"/>
        <w:numPr>
          <w:ilvl w:val="0"/>
          <w:numId w:val="29"/>
        </w:numPr>
        <w:shd w:val="clear" w:color="auto" w:fill="auto"/>
        <w:tabs>
          <w:tab w:val="clear" w:pos="720"/>
          <w:tab w:val="left" w:pos="625" w:leader="none"/>
        </w:tabs>
        <w:bidi w:val="0"/>
        <w:spacing w:lineRule="auto" w:line="240" w:before="0" w:after="0"/>
        <w:ind w:left="0" w:right="0" w:firstLine="260"/>
        <w:jc w:val="both"/>
        <w:rPr/>
      </w:pPr>
      <w:r>
        <w:rPr>
          <w:color w:val="000000"/>
          <w:spacing w:val="0"/>
          <w:w w:val="100"/>
          <w:shd w:fill="auto" w:val="clear"/>
          <w:lang w:val="en-US" w:eastAsia="en-US" w:bidi="en-US"/>
        </w:rPr>
        <w:t>Wir können uns leicht vorstellen, wie Rousseau selbst das von Runciman und Sen vorgeschlagene Beispiel betrachtet hätte. An einer Stelle sagt er: „In Genua liest man vor den Gefängnissen und auf den Eisen der Galerien dieses Wort Libertas. Diese Währungs-App ist schön und fair. Tatsächlich sind es nur Übeltäter aller Staaten, die den Bürger daran hindern, frei zu sein. In einem Land, in dem all diese Menschen auf den Galeeren wären, würden wir die vollkommenste Freiheit genießen. (Rousseau, Du contrat Social, Bk. IV, Ch. ii fn., S. 310.) Um das Konzept der volonte generale auf den Fall von zwei solchen Übeltätern anzuwenden, die versuchen, die Dauer ihres Abstiegs auf die Galeeren zu minimieren erschien Rousseau als widerwärtige Prostitution des Begriffs; Runciman und Sen scheinen sich der Ungeheuerlichkeit ihres Vergehens nicht bewusst zu sein.</w:t>
      </w:r>
    </w:p>
    <w:p>
      <w:pPr>
        <w:pStyle w:val="Flietext21"/>
        <w:keepNext w:val="false"/>
        <w:keepLines w:val="false"/>
        <w:widowControl w:val="false"/>
        <w:numPr>
          <w:ilvl w:val="0"/>
          <w:numId w:val="29"/>
        </w:numPr>
        <w:shd w:val="clear" w:color="auto" w:fill="auto"/>
        <w:tabs>
          <w:tab w:val="clear" w:pos="720"/>
          <w:tab w:val="left" w:pos="625" w:leader="none"/>
        </w:tabs>
        <w:bidi w:val="0"/>
        <w:spacing w:lineRule="auto" w:line="213" w:before="0" w:after="0"/>
        <w:ind w:left="0" w:right="0" w:firstLine="260"/>
        <w:jc w:val="both"/>
        <w:rPr/>
      </w:pPr>
      <w:r>
        <w:rPr>
          <w:i/>
          <w:iCs/>
          <w:color w:val="000000"/>
          <w:spacing w:val="0"/>
          <w:w w:val="100"/>
          <w:shd w:fill="auto" w:val="clear"/>
          <w:lang w:val="en-US" w:eastAsia="en-US" w:bidi="en-US"/>
        </w:rPr>
        <w:t>Vgl. B. Grimsley, „Rousseau and the Problem of Happiness“, in Cranston &amp; Peters, (Hrsg.), Hobbes and Rousseau.</w:t>
      </w:r>
    </w:p>
    <w:p>
      <w:pPr>
        <w:pStyle w:val="Flietext21"/>
        <w:keepNext w:val="false"/>
        <w:keepLines w:val="false"/>
        <w:widowControl w:val="false"/>
        <w:numPr>
          <w:ilvl w:val="0"/>
          <w:numId w:val="29"/>
        </w:numPr>
        <w:shd w:val="clear" w:color="auto" w:fill="auto"/>
        <w:tabs>
          <w:tab w:val="clear" w:pos="720"/>
          <w:tab w:val="left" w:pos="625" w:leader="none"/>
        </w:tabs>
        <w:bidi w:val="0"/>
        <w:spacing w:lineRule="auto" w:line="213" w:before="0" w:after="200"/>
        <w:ind w:left="0" w:right="0" w:firstLine="260"/>
        <w:jc w:val="both"/>
        <w:rPr/>
      </w:pPr>
      <w:r>
        <w:rPr>
          <w:color w:val="000000"/>
          <w:spacing w:val="0"/>
          <w:w w:val="100"/>
          <w:shd w:fill="auto" w:val="clear"/>
          <w:lang w:val="en-US" w:eastAsia="en-US" w:bidi="en-US"/>
        </w:rPr>
        <w:t>George Kateb, „Aspekte von Rousseaus politischem Denken“, in The Political Science Quarterly, Bd. LXXVI (Dezember 1961), 527.</w:t>
      </w:r>
    </w:p>
    <w:p>
      <w:pPr>
        <w:pStyle w:val="Flietext1"/>
        <w:keepNext w:val="false"/>
        <w:keepLines w:val="false"/>
        <w:widowControl w:val="false"/>
        <w:shd w:val="clear" w:color="auto" w:fill="auto"/>
        <w:bidi w:val="0"/>
        <w:spacing w:before="0" w:after="280"/>
        <w:ind w:left="0" w:right="0" w:firstLine="260"/>
        <w:jc w:val="both"/>
        <w:rPr/>
      </w:pPr>
      <w:r>
        <w:rPr>
          <w:color w:val="000000"/>
          <w:spacing w:val="0"/>
          <w:w w:val="100"/>
          <w:shd w:fill="auto" w:val="clear"/>
          <w:vertAlign w:val="superscript"/>
          <w:lang w:val="en-US" w:eastAsia="en-US" w:bidi="en-US"/>
        </w:rPr>
        <w:t>Der legitime Staat ist Gegenstand einer volonte generale, weil er der innersten Realität jedes Individuums entspricht, weil er die eine Bedingung erfüllt, die den Menschen zum Segen des sozialen Staates machen kann – nämlich „d'un animal stupide et borne fit un“. etre intelligent et un homme“ im Gegensatz zum Zustand korrumpierter Gesellschaften, wo „les abus de cette nouvelle condition … le degradoient souvent au-dessous celle dont il est sorti.“353 Die volonte generale ist der Wunsch aller Menschen das implizite Versprechen der sozialen Zusammenarbeit erfüllen, das die Errungenschaft der Tugend ist, obwohl es Teil des korrupten Zustands ist, in dem sie sich jetzt befinden, dass sie sich dieses ständigen Willens möglicherweise nicht bewusst sind. Dieser Ansatz beginnt wieder, durch die Hintertür das Bild des Totalitären Rousseau einzuführen, der die Menschen dazu zwingt, tugendhaft zu sein, ob sie wollen oder nicht, abgesehen von seinem Pessimismus und Konservatismus. Nur wenn der richtige Mann zur richtigen Zeit die richtigen Leute findet, kann eine Gesellschaft so organisiert werden, dass sie dieses überaus wichtige Potenzial verwirklicht; in allen anderen Fällen bleibt nur die Kündigung. Tugend kann den Menschen nicht aufgezwungen werden; Die Laster korrupter Gesellschaften, so scheint es, können nicht wirklich beseitigt werden, sondern müssen verhindert werden, dass sie jemals entstehen. Sobald der legitime Zustand erreicht ist, ist der bei Rousseau immer wieder vorhandene Konservatismus noch stärker; daher wohl der Vorschlag, dass der Gesetzgeber religiöse Sanktion für seine Verfassung und seine Prinzipien beanspruchen sollte, da dies sie umso fester und unveränderlicher in der Tradition verankert.354 Doch selbst hier bleiben sein Pessimismus und seine Verzweiflung, und genau so, wie Plato eine Beschreibung beendete eines idealen Staates mit der Darstellung seines Untergangs, so schlägt Rousseau eine Maxime vor, die besagt, dass die Macht unausweichlich von der Volksversammlung auf die Regierung übergeht – das heißt, dass der legitime Staat unweigerlich verfällt.355</w:t>
      </w:r>
    </w:p>
    <w:p>
      <w:pPr>
        <w:pStyle w:val="Flietext21"/>
        <w:keepNext w:val="false"/>
        <w:keepLines w:val="false"/>
        <w:widowControl w:val="false"/>
        <w:numPr>
          <w:ilvl w:val="0"/>
          <w:numId w:val="29"/>
        </w:numPr>
        <w:shd w:val="clear" w:color="auto" w:fill="auto"/>
        <w:tabs>
          <w:tab w:val="clear" w:pos="720"/>
          <w:tab w:val="left" w:pos="615" w:leader="none"/>
        </w:tabs>
        <w:bidi w:val="0"/>
        <w:spacing w:lineRule="auto" w:line="240" w:before="0" w:after="0"/>
        <w:ind w:left="0" w:right="0" w:firstLine="260"/>
        <w:jc w:val="both"/>
        <w:rPr/>
      </w:pPr>
      <w:r>
        <w:rPr>
          <w:color w:val="000000"/>
          <w:spacing w:val="0"/>
          <w:w w:val="100"/>
          <w:shd w:fill="auto" w:val="clear"/>
          <w:lang w:val="en-US" w:eastAsia="en-US" w:bidi="en-US"/>
        </w:rPr>
        <w:t>Es scheint nicht allzu abwegig, auf eine Zweideutigkeit in der Verknüpfung von Politik und Tugend hinzuweisen. Es gibt mindestens zwei Arten, in denen eine solche Verbindung hergestellt werden kann. Erstens gibt es das, was wir den griechischen Stil nennen können, nach Aristoteles Politics Bk. III, in der die politische Aktivität von gebildeten Männern mit bescheidenen Mitteln eine Voraussetzung für das Leben der Tugend ist. Zweitens gibt es das, was wir den römischen Stil nennen können, nach Cicero De re publica Bk. I ii, in dem ein Staatsmann durch seine Autorität und durch gesetzliche Strafen alle Menschen verpflichtet, ein tugendhaftes Leben anzunehmen (eine Methode, die an dieser Stelle ausdrücklich der griechischen Überzeugung gegenübergestellt wird). Im Allgemeinen scheint es, dass alle Diskussionen über Tugend und Politik dazu neigen, anzunehmen, dass es sich um den römischen Stil handelt – Tugend, die direkt durch Zwang erzwungen wird – während Rousseau sinnvoller an den griechischen Stil angepasst zu sein scheint.</w:t>
      </w:r>
    </w:p>
    <w:p>
      <w:pPr>
        <w:pStyle w:val="Flietext21"/>
        <w:keepNext w:val="false"/>
        <w:keepLines w:val="false"/>
        <w:widowControl w:val="false"/>
        <w:numPr>
          <w:ilvl w:val="0"/>
          <w:numId w:val="29"/>
        </w:numPr>
        <w:shd w:val="clear" w:color="auto" w:fill="auto"/>
        <w:tabs>
          <w:tab w:val="clear" w:pos="720"/>
          <w:tab w:val="left" w:pos="650" w:leader="none"/>
        </w:tabs>
        <w:bidi w:val="0"/>
        <w:spacing w:lineRule="auto" w:line="189" w:before="0" w:after="0"/>
        <w:ind w:left="0" w:right="0" w:firstLine="260"/>
        <w:jc w:val="both"/>
        <w:rPr/>
      </w:pPr>
      <w:r>
        <w:rPr>
          <w:color w:val="000000"/>
          <w:spacing w:val="0"/>
          <w:w w:val="100"/>
          <w:shd w:fill="auto" w:val="clear"/>
          <w:lang w:val="en-US" w:eastAsia="en-US" w:bidi="en-US"/>
        </w:rPr>
        <w:t>zitiert in H.D.F. Kitto, The Greeks (Harmondsworth, England: Penguin Books Ltd., 1951), p. 93.</w:t>
      </w:r>
    </w:p>
    <w:p>
      <w:pPr>
        <w:pStyle w:val="Flietext21"/>
        <w:keepNext w:val="false"/>
        <w:keepLines w:val="false"/>
        <w:widowControl w:val="false"/>
        <w:numPr>
          <w:ilvl w:val="0"/>
          <w:numId w:val="29"/>
        </w:numPr>
        <w:shd w:val="clear" w:color="auto" w:fill="auto"/>
        <w:tabs>
          <w:tab w:val="clear" w:pos="720"/>
          <w:tab w:val="left" w:pos="650" w:leader="none"/>
        </w:tabs>
        <w:bidi w:val="0"/>
        <w:spacing w:lineRule="auto" w:line="189" w:before="0" w:after="200"/>
        <w:ind w:left="0" w:right="0" w:firstLine="260"/>
        <w:jc w:val="left"/>
        <w:rPr/>
      </w:pPr>
      <w:r>
        <w:rPr>
          <w:color w:val="000000"/>
          <w:spacing w:val="0"/>
          <w:w w:val="100"/>
          <w:shd w:fill="auto" w:val="clear"/>
          <w:lang w:val="en-US" w:eastAsia="en-US" w:bidi="en-US"/>
        </w:rPr>
        <w:t>Rousseau, Du Gontrat Social, Bk. Ich, Ch. VIII, p. 247.</w:t>
      </w:r>
    </w:p>
    <w:p>
      <w:pPr>
        <w:pStyle w:val="Flietext1"/>
        <w:keepNext w:val="false"/>
        <w:keepLines w:val="false"/>
        <w:widowControl w:val="false"/>
        <w:shd w:val="clear" w:color="auto" w:fill="auto"/>
        <w:bidi w:val="0"/>
        <w:spacing w:before="0" w:after="240"/>
        <w:ind w:left="0" w:right="0" w:firstLine="260"/>
        <w:jc w:val="both"/>
        <w:rPr/>
      </w:pPr>
      <w:r>
        <w:rPr>
          <w:color w:val="000000"/>
          <w:spacing w:val="0"/>
          <w:w w:val="100"/>
          <w:shd w:fill="auto" w:val="clear"/>
          <w:lang w:val="en-US" w:eastAsia="en-US" w:bidi="en-US"/>
        </w:rPr>
        <w:t>Eine solche Interpretation reduziert die Bedeutung der Zustimmung für Rousseau, sodass sie bestenfalls zu einem sekundären Merkmal seiner politischen Philosophie wird. Es bietet auch eine mögliche Antwort auf die Bedenken einiger kompetenter Kommentatoren darüber, wie Rousseau an einigen Stellen von der volonte generale spricht. Plamenatz bemerkt, dass er manchmal davon spricht, „eher als eine Art Wissen denn als Wille“356, und Talmon weist in ähnlicher Weise darauf hin, dass „der allgemeine Wille für Rousseau (u)letztlich so etwas wie eine mathematische Wahrheit oder eine platonische Idee ist“. „es hat eine objektive Eigenexistenz, ob wahrgenommen oder nicht.“357,358 Angesichts der gebräuchlichen Übersetzung von „volonte generale“ als „allgemeiner Wille“ ist eine solche Ratlosigkeit natürlich nur zu erwarten; Wenn es bei der volonte generale stattdessen darum geht, die moralischen Fähigkeiten zu erfüllen und zu verwirklichen, die allen Menschen, sofern sie Männer sind, von Natur aus innewohnen, ist eine solche Objektivität viel weniger bemerkenswert. Angesichts der Tatsache, dass es Rousseau um l'homme im Gegensatz zu l'individu geht, angesichts seines Bemühens, eine paradigmatische Abstraktion in Form des „natürlichen“ Menschen aufzustellen, ist dies nur zu erwarten, wenn er dem Begriff der volonte Bedeutung beimisst , wäre es das Volonte dieses abstrakten und wesentlichen Menschen, das er im Sinn hätte, nicht die Begierden und Wünsche irgendeines bestimmten Individuums oder einer Gruppe von Individuen. Aus diesem Grund ist die allgemeine Gleichsetzung von Rousseaus „natürlichem“ Menschen mit dem edlen Wilden so vernichtend für das Verständnis seines Denkens. Man steht vor zwei alternativen Wegen: Man kann (wie Strauss) die Bedeutung des „natürlichen“ Menschen sehen, aber durch ein Missverständnis dessen, was der „natürliche“ Mensch ist, kann man Rousseau als einen „Rückkehr zur Natur“-Faddisten sehen, und daher auch nicht philosophisch uninteressant oder sehr gefährlich; zweitens sieht man das</w:t>
      </w:r>
    </w:p>
    <w:p>
      <w:pPr>
        <w:pStyle w:val="Flietext1"/>
        <w:keepNext w:val="false"/>
        <w:keepLines w:val="false"/>
        <w:widowControl w:val="false"/>
        <w:shd w:val="clear" w:color="auto" w:fill="auto"/>
        <w:bidi w:val="0"/>
        <w:spacing w:before="0" w:after="280"/>
        <w:ind w:left="0" w:right="0" w:hanging="0"/>
        <w:jc w:val="both"/>
        <w:rPr/>
      </w:pPr>
      <w:r>
        <w:rPr>
          <w:i/>
          <w:iCs/>
          <w:color w:val="000000"/>
          <w:spacing w:val="0"/>
          <w:w w:val="100"/>
          <w:shd w:fill="auto" w:val="clear"/>
          <w:lang w:val="en-US" w:eastAsia="en-US" w:bidi="en-US"/>
        </w:rPr>
        <w:t>Rousseau hat nicht das geringste Interesse daran, den primitiven prähistorischen Zustand des Menschen wiederherzustellen und dann den „natürlichen“ Menschen als eine Verirrung von sekundärem Interesse entweder zu ignorieren oder wegzudenken, um schließlich mit etwas zu enden, das sich dem klassischen Liberalismus annähert. Während keine der beiden Routen ohne Touristenattraktionen unterwegs ist, ist es alles andere als klar, dass uns eine der beiden dem Verständnis von Rousseau und seiner volonte generale näher bringt.</w:t>
      </w:r>
    </w:p>
    <w:p>
      <w:pPr>
        <w:pStyle w:val="Flietext21"/>
        <w:keepNext w:val="false"/>
        <w:keepLines w:val="false"/>
        <w:widowControl w:val="false"/>
        <w:numPr>
          <w:ilvl w:val="0"/>
          <w:numId w:val="29"/>
        </w:numPr>
        <w:shd w:val="clear" w:color="auto" w:fill="auto"/>
        <w:tabs>
          <w:tab w:val="clear" w:pos="720"/>
          <w:tab w:val="left" w:pos="601" w:leader="none"/>
        </w:tabs>
        <w:bidi w:val="0"/>
        <w:spacing w:lineRule="auto" w:line="213" w:before="0" w:after="0"/>
        <w:ind w:left="0" w:right="0" w:firstLine="280"/>
        <w:jc w:val="both"/>
        <w:rPr/>
      </w:pPr>
      <w:r>
        <w:rPr>
          <w:color w:val="000000"/>
          <w:spacing w:val="0"/>
          <w:w w:val="100"/>
          <w:shd w:fill="auto" w:val="clear"/>
          <w:lang w:val="en-US" w:eastAsia="en-US" w:bidi="en-US"/>
        </w:rPr>
        <w:t>Joan McDonald, Rousseau and the French Revolution 1762-1791 (London: Athlone Press, 1965), S. 37-8.</w:t>
      </w:r>
    </w:p>
    <w:p>
      <w:pPr>
        <w:pStyle w:val="Flietext21"/>
        <w:keepNext w:val="false"/>
        <w:keepLines w:val="false"/>
        <w:widowControl w:val="false"/>
        <w:numPr>
          <w:ilvl w:val="0"/>
          <w:numId w:val="29"/>
        </w:numPr>
        <w:shd w:val="clear" w:color="auto" w:fill="auto"/>
        <w:tabs>
          <w:tab w:val="clear" w:pos="720"/>
          <w:tab w:val="left" w:pos="615" w:leader="none"/>
        </w:tabs>
        <w:bidi w:val="0"/>
        <w:spacing w:lineRule="auto" w:line="213" w:before="0" w:after="0"/>
        <w:ind w:left="0" w:right="0" w:firstLine="280"/>
        <w:jc w:val="both"/>
        <w:rPr/>
      </w:pPr>
      <w:r>
        <w:rPr>
          <w:color w:val="000000"/>
          <w:spacing w:val="0"/>
          <w:w w:val="100"/>
          <w:shd w:fill="auto" w:val="clear"/>
          <w:lang w:val="en-US" w:eastAsia="en-US" w:bidi="en-US"/>
        </w:rPr>
        <w:t>Vgl. Bertrand de Jouvenal, „Rousseaus Theorie der Regierungsformen“, in Cranston &amp; Peters (Hrsg.), Hobbes und Rousseau, passim.</w:t>
      </w:r>
    </w:p>
    <w:p>
      <w:pPr>
        <w:pStyle w:val="Flietext21"/>
        <w:keepNext w:val="false"/>
        <w:keepLines w:val="false"/>
        <w:widowControl w:val="false"/>
        <w:numPr>
          <w:ilvl w:val="0"/>
          <w:numId w:val="29"/>
        </w:numPr>
        <w:shd w:val="clear" w:color="auto" w:fill="auto"/>
        <w:tabs>
          <w:tab w:val="clear" w:pos="720"/>
          <w:tab w:val="left" w:pos="670" w:leader="none"/>
        </w:tabs>
        <w:bidi w:val="0"/>
        <w:spacing w:lineRule="auto" w:line="189" w:before="0" w:after="200"/>
        <w:ind w:left="0" w:right="0" w:firstLine="280"/>
        <w:jc w:val="both"/>
        <w:rPr/>
      </w:pPr>
      <w:r>
        <w:rPr>
          <w:color w:val="000000"/>
          <w:spacing w:val="0"/>
          <w:w w:val="100"/>
          <w:shd w:fill="auto" w:val="clear"/>
          <w:lang w:val="en-US" w:eastAsia="en-US" w:bidi="en-US"/>
        </w:rPr>
        <w:t>Plamenatz, „He Will Be Forced to Be Free“, in Cranston &amp; Peters (Hrsg.) a. cit., p. 321.</w:t>
      </w:r>
    </w:p>
    <w:p>
      <w:pPr>
        <w:pStyle w:val="Flietext1"/>
        <w:keepNext w:val="false"/>
        <w:keepLines w:val="false"/>
        <w:widowControl w:val="false"/>
        <w:shd w:val="clear" w:color="auto" w:fill="auto"/>
        <w:bidi w:val="0"/>
        <w:spacing w:before="0" w:after="280"/>
        <w:ind w:left="0" w:right="0" w:firstLine="280"/>
        <w:jc w:val="both"/>
        <w:rPr/>
      </w:pPr>
      <w:r>
        <w:rPr>
          <w:color w:val="000000"/>
          <w:spacing w:val="0"/>
          <w:w w:val="100"/>
          <w:shd w:fill="auto" w:val="clear"/>
          <w:lang w:val="en-US" w:eastAsia="en-US" w:bidi="en-US"/>
        </w:rPr>
        <w:t>Ein Verständnis der Bedeutung der volonte generale wird von Riley vorgeschlagen (aber nicht vollständig erreicht).359 Riley behauptet, dass das Konzept der volonte generale, da es sich im Wesentlichen um ein individualistisches Phänomen handelt, ein „philosophischer und psychologischer Widerspruch in sich“ ist. Der Grund, warum Rousseau es für notwendig hielt, sich einer solch grundlegend inkohärenten Aufgabe zu stellen, war seiner Meinung nach, die Kluft zwischen alter Kohäsion und modernem Voluntarismus zu überbrücken. Die Alten beschäftigten sich mit der Exzellenz einer sozialen Einrichtung; die Modernen verlangten ebenfalls Zustimmung und gaben schließlich die Idee des „guten“ Staates zugunsten des „legitimen“ Staates auf; Rousseau wollte das Beste aus beiden Welten, einen tugendhaften Staat, der auch durch die freiwillige Zustimmung seiner Bürger legitimiert war. Dies führte zu den zahlreichen Paradoxien und Zirkeln seiner Argumentation.</w:t>
      </w:r>
    </w:p>
    <w:p>
      <w:pPr>
        <w:pStyle w:val="Flietext21"/>
        <w:keepNext w:val="false"/>
        <w:keepLines w:val="false"/>
        <w:widowControl w:val="false"/>
        <w:numPr>
          <w:ilvl w:val="0"/>
          <w:numId w:val="29"/>
        </w:numPr>
        <w:shd w:val="clear" w:color="auto" w:fill="auto"/>
        <w:tabs>
          <w:tab w:val="clear" w:pos="720"/>
          <w:tab w:val="left" w:pos="620" w:leader="none"/>
        </w:tabs>
        <w:bidi w:val="0"/>
        <w:spacing w:lineRule="auto" w:line="213" w:before="0" w:after="0"/>
        <w:ind w:left="0" w:right="0" w:firstLine="280"/>
        <w:jc w:val="both"/>
        <w:rPr/>
      </w:pPr>
      <w:r>
        <w:rPr>
          <w:color w:val="000000"/>
          <w:spacing w:val="0"/>
          <w:w w:val="100"/>
          <w:shd w:fill="auto" w:val="clear"/>
          <w:lang w:val="en-US" w:eastAsia="en-US" w:bidi="en-US"/>
        </w:rPr>
        <w:t>Jacob L. Talman, The Rise of Totalitarian Democracy (New York: Frederick A. Praeger, 1952), p. 41.</w:t>
      </w:r>
    </w:p>
    <w:p>
      <w:pPr>
        <w:pStyle w:val="Flietext21"/>
        <w:keepNext w:val="false"/>
        <w:keepLines w:val="false"/>
        <w:widowControl w:val="false"/>
        <w:numPr>
          <w:ilvl w:val="0"/>
          <w:numId w:val="29"/>
        </w:numPr>
        <w:shd w:val="clear" w:color="auto" w:fill="auto"/>
        <w:tabs>
          <w:tab w:val="clear" w:pos="720"/>
          <w:tab w:val="left" w:pos="625" w:leader="none"/>
        </w:tabs>
        <w:bidi w:val="0"/>
        <w:spacing w:lineRule="auto" w:line="220" w:before="0" w:after="0"/>
        <w:ind w:left="0" w:right="0" w:firstLine="280"/>
        <w:jc w:val="both"/>
        <w:rPr/>
      </w:pPr>
      <w:r>
        <w:rPr>
          <w:color w:val="000000"/>
          <w:spacing w:val="0"/>
          <w:w w:val="100"/>
          <w:shd w:fill="auto" w:val="clear"/>
          <w:lang w:val="en-US" w:eastAsia="en-US" w:bidi="en-US"/>
        </w:rPr>
        <w:t>Bemerkenswert ist, wie häufig in der Rousseau-Literatur auf Plato Bezug genommen wird; im Anhang werde ich versuchen, einige dieser Referenzen zusammenzufassen und einige allgemeine Parallelen zu ziehen.</w:t>
      </w:r>
    </w:p>
    <w:p>
      <w:pPr>
        <w:pStyle w:val="Flietext21"/>
        <w:keepNext w:val="false"/>
        <w:keepLines w:val="false"/>
        <w:widowControl w:val="false"/>
        <w:numPr>
          <w:ilvl w:val="0"/>
          <w:numId w:val="29"/>
        </w:numPr>
        <w:shd w:val="clear" w:color="auto" w:fill="auto"/>
        <w:tabs>
          <w:tab w:val="clear" w:pos="720"/>
          <w:tab w:val="left" w:pos="625" w:leader="none"/>
        </w:tabs>
        <w:bidi w:val="0"/>
        <w:spacing w:lineRule="auto" w:line="213" w:before="0" w:after="200"/>
        <w:ind w:left="0" w:right="0" w:firstLine="280"/>
        <w:jc w:val="both"/>
        <w:rPr/>
      </w:pPr>
      <w:r>
        <w:rPr>
          <w:color w:val="000000"/>
          <w:spacing w:val="0"/>
          <w:w w:val="100"/>
          <w:shd w:fill="auto" w:val="clear"/>
          <w:lang w:val="en-US" w:eastAsia="en-US" w:bidi="en-US"/>
        </w:rPr>
        <w:t>Patrick Riley, „Eine mögliche Erklärung von Rousseaus allgemeinem Willen“, in The American Political Science Review, Bd. LXIV (März 1970), S. 86-97.</w:t>
      </w:r>
    </w:p>
    <w:p>
      <w:pPr>
        <w:pStyle w:val="Flietext1"/>
        <w:keepNext w:val="false"/>
        <w:keepLines w:val="false"/>
        <w:widowControl w:val="false"/>
        <w:shd w:val="clear" w:color="auto" w:fill="auto"/>
        <w:bidi w:val="0"/>
        <w:spacing w:lineRule="auto" w:line="259" w:before="0" w:after="200"/>
        <w:ind w:left="0" w:right="0" w:firstLine="280"/>
        <w:jc w:val="both"/>
        <w:rPr/>
      </w:pPr>
      <w:r>
        <w:rPr>
          <w:color w:val="000000"/>
          <w:spacing w:val="0"/>
          <w:w w:val="100"/>
          <w:shd w:fill="auto" w:val="clear"/>
          <w:lang w:val="en-US" w:eastAsia="en-US" w:bidi="en-US"/>
        </w:rPr>
        <w:t>Rileys Analyse entlockt Rousseau also ein ähnliches Problem, das bei Locke noch offensichtlicher ist. Bei Locke haben wir den Vorschlag, dass die legitime Regierung sich an das Naturrecht halten muss und dass die legitime Regierung auch auf Mehrheitszustimmung beruht; bei Rousseau haben wir die Gleichsetzung des legitimen Staates mit dem tugendhaften Staat und das weitere Beharren darauf, dass ein solcher Staat auf Zustimmung und Vertrag gegründet werden muss.</w:t>
      </w:r>
    </w:p>
    <w:p>
      <w:pPr>
        <w:pStyle w:val="Flietext1"/>
        <w:keepNext w:val="false"/>
        <w:keepLines w:val="false"/>
        <w:widowControl w:val="false"/>
        <w:shd w:val="clear" w:color="auto" w:fill="auto"/>
        <w:bidi w:val="0"/>
        <w:spacing w:before="0" w:after="0"/>
        <w:ind w:left="0" w:right="0" w:hanging="0"/>
        <w:jc w:val="both"/>
        <w:rPr/>
      </w:pPr>
      <w:r>
        <w:rPr>
          <w:color w:val="000000"/>
          <w:spacing w:val="0"/>
          <w:w w:val="100"/>
          <w:shd w:fill="auto" w:val="clear"/>
          <w:lang w:val="en-US" w:eastAsia="en-US" w:bidi="en-US"/>
        </w:rPr>
        <w:t>Wir stehen also vor zwei Alternativen. Erstens können wir es einfach auf der Ebene des Widerspruchs oder Paradoxons belassen und annehmen, dass die beiden sich des sehr realen Problems des Widerspruchs dieser beiden Forderungen entweder nicht bewusst oder gleichgültig (oder ihm gegenüber hilflos) waren. Zweitens können wir Locke und Rousseau die posthume Ehre erweisen, anzunehmen, dass sie keine dummen Männer waren. Da sie sich anscheinend nicht sehr um das Problem gekümmert haben, das wir ihnen vorlesen – und sicherlich scheint Locke nicht der Meinung zu sein, dass es notwendig ist, die Bürger davon zu überzeugen, einer Regierung zuzustimmen, sobald festgestellt wurde, dass diese Regierung tatsächlich das Naturrecht befolgt , noch Rousseau, um die Zustimmung zum tugendhaften Zustand zu erlangen – vielleicht ist das Problem eher ein Artefakt unserer eigenen Formulierung ihres Denkens als ein Problem, das zu Recht gegen sie verwendet wird. Zugegeben, eine solche Ehre kann keine bloße Wohltätigkeit sein, aber man sollte zumindest nach einer Erklärung suchen, die das Problem vermeidet, bevor man einfach annimmt, dass seine Gedanken am Felsen dieser ungelösten Schwierigkeit scheitern, und sich dann darüber wundert, wie sie scheitern konnten einen so grundlegenden Fehler zu sehen. Es ist das ganze Ziel dieser Arbeit, eine solche Erklärung zu präsentieren.</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Riley hat die beiden Traditionen der Freiwilligkeit und des Zusammenhalts präsentiert, wobei Rousseau vergeblich versucht, beide zu überspannen. Vielleicht sollten wir jedoch, anstatt den Gesellschaftsvertrag, wie er von Rousseau verwendet wird (und im weiteren Sinne auch wie er von Hobbes und Locke verwendet wird), als mit einer Seite dieser Dichotomie identifiziert zu sehen, unsere Interpretation revidieren und sie als einen Versuch (wenn auch eine erfolglose), um eine solche Spaltung in der Tradition umzukehren, bevor sie sich wirklich durchsetzen konnte, um ein Problem zu lösen, bevor es zu einer so grundlegenden Dichotomie werden konnte. Dass diese Versuche jetzt als wichtiger Teil einer solchen Spaltung angesehen werden, ist nur eine der Ironien, an denen die Geschichte reich ist; Schade ist, dass wir bei den meisten Interpretationen nicht einmal die Ironie sehen können. Der Gesellschaftsvertrag setzt Individualismus voraus – so viel scheint hinreichend außer Frage, dass das Gesellschaftsvertragsgerät ohne ihn einfach inkohärent ist. Die Frage ist, ob Individualismus notwendigerweise mit modernem Voluntarismus austauschbar ist, oder ob Individualismus, wie er vom Vertragsmittel vorausgesetzt wird, mit Rationalismus gleichgesetzt werden kann. Historisch gesehen wurde der Vertrag schließlich mit Freiwilligkeit in Verbindung gebracht; Was argumentiert wird, ist, dass es zwischen Kohäsion und Freiwilligkeit einen Mittelschritt gab, der versuchte, die beiden ohne Inkohärenz zu assimilieren, und das Mittel einer solchen Assimilation war der unterstellte Vertrag. Sicherlich ergibt Rousseau mehr Sinn, wenn man ihn mit einem rein rationalistischen Begriffskonzept ansieht, das eher eine Beziehung zum Naturrecht als zur modernen voluntaristischen Interpretation des Gesellschaftsvertrags hat, und es ist diese rationalistische Herangehensweise an den Gesellschaftsvertrag, die wir haben hat den unterstellten Vertrag aufgerufen.</w:t>
      </w:r>
    </w:p>
    <w:p>
      <w:pPr>
        <w:pStyle w:val="Flietext1"/>
        <w:keepNext w:val="false"/>
        <w:keepLines w:val="false"/>
        <w:widowControl w:val="false"/>
        <w:shd w:val="clear" w:color="auto" w:fill="auto"/>
        <w:bidi w:val="0"/>
        <w:spacing w:before="0" w:after="200"/>
        <w:ind w:left="0" w:right="0" w:firstLine="320"/>
        <w:jc w:val="both"/>
        <w:rPr>
          <w:sz w:val="22"/>
          <w:szCs w:val="22"/>
        </w:rPr>
      </w:pPr>
      <w:r>
        <w:rPr>
          <w:rStyle w:val="Flietext2"/>
          <w:sz w:val="22"/>
          <w:szCs w:val="22"/>
        </w:rPr>
        <w:t>Als erste Annäherung an ein Verständnis von Rousseaus politischer Philosophie: Rousseau eliminiert das Problem der Zustimmung, indem er die Zustimmung zu einem analytischen Satz a priori macht. Abgesehen von der pseudohistorischen Darstellung des ursprünglichen Vertrages und dem Eid der Zivilreligion interessiert sich Rousseau nicht für bestimmte beobachtbare Zustimmungshandlungen. Meiner Meinung nach wirft Broome in seiner ansonsten nützlichen Arbeit einfach die Frage auf, wenn er feststellt, dass „der Vertrag ... die formelle Geste der Verpflichtung darstellt, ohne die man sagen kann, dass kein Mensch seine vollständige Entwicklung als politisches und moralisches Wesen vollzogen hat .“568 Es ist die formelle Geste, die am auffallendsten fehlt. Vielmehr wird die Gemeinschaft so behandelt, als ob sie die Zustimmungserteilung zwingend voraussetze. Die volonte generale ist das Wesen der Gemeinschaft, und keines kann ohne das andere existieren. So beweist das Vorhandensein einer volonte generale die Existenz einer Gemeinschaft (und umgekehrt), deren Mitglieder alle ein gemeinsames Gut teilen, das Gegenstand der volonte generale ist, und dies wiederum beweist die Zustimmung aller Mitglieder. folglich muss Rousseau sich nicht auf eine spezifische und isolierbare Einwilligungshandlung beziehen oder darauf hinweisen; besteht eine Gemeinschaft, so muss ihr diese Zustimmung definitionsgemäß vorausgegangen sein. Er sagt nicht, dass er Zustimmung sieht und deshalb muss es irgendwo eine Gemeinschaft geben; er sagt, dass er die community/volonte generale sieht, und deshalb muss es irgendwo Zustimmung geben. Diese Umkehrung der Betonung ist ein wichtiger Teil des unterstellten Vertragsinstruments. Da die Zustimmung zugerechnet wird, ist ihr genauer Ort nur zweitrangig, und er kümmert sich nicht darum – hat er Gemeinschaft einmal so definiert, dass Zustimmung in den Begriff der Gemeinschaft eingebunden ist, hat er alles Nötige getan machen. Er sagt lediglich, dass jedes neue erwachsene Mitglied zustimmen muss,569 nun, wie er dies tut. Mitglied der Gemeinschaft zu sein, heißt zugestimmt zu haben.570 Es ist keine allzu große Bürde für ausdrücklich zustimmende Eigentümer, das Recht auf Auswanderung zu verlieren – ein sicheres Zeichen für die Erhebung des Naturrechts über die Zustimmung. Für Rousseau, der nicht als Philosoph des Naturrechts, sondern der Gemeinschaft angesehen wird, ist dieses Konzept der „Bedingungen der Mitgliedschaft“ viel entscheidender. Andererseits gibt es bei Rousseau, wie ich später zeigen werde, ein zentrales Argument, das ihn Locke in dieser Hinsicht noch ähnlicher macht und viel weniger zu einem Partikularist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1"/>
        <w:keepNext w:val="false"/>
        <w:keepLines w:val="false"/>
        <w:widowControl w:val="false"/>
        <w:shd w:val="clear" w:color="auto" w:fill="auto"/>
        <w:bidi w:val="0"/>
        <w:spacing w:before="0" w:after="280"/>
        <w:ind w:left="0" w:right="0" w:firstLine="320"/>
        <w:jc w:val="both"/>
        <w:rPr/>
      </w:pPr>
      <w:r>
        <w:rPr>
          <w:color w:val="000000"/>
          <w:spacing w:val="0"/>
          <w:w w:val="100"/>
          <w:shd w:fill="auto" w:val="clear"/>
          <w:lang w:val="en-US" w:eastAsia="en-US" w:bidi="en-US"/>
        </w:rPr>
        <w:t>Bei Rousseau ist also nicht so sehr „die alte Theorie, dass Wohnsitz Zustimmung impliziert“ (Gough)568, als dass die Mitgliedschaft in der Gemeinschaft Zustimmung impliziert, wobei beide ähnlich, aber nicht identisch sind. Es ist wahr, dass Rousseau sagt, dass der Aufenthalt Zustimmung voraussetzt; dieser Bemerkung geht jedoch die Behauptung voraus:</w:t>
      </w:r>
    </w:p>
    <w:p>
      <w:pPr>
        <w:pStyle w:val="Flietext1"/>
        <w:keepNext w:val="false"/>
        <w:keepLines w:val="false"/>
        <w:widowControl w:val="false"/>
        <w:shd w:val="clear" w:color="auto" w:fill="auto"/>
        <w:bidi w:val="0"/>
        <w:spacing w:lineRule="auto" w:line="252" w:before="0" w:after="280"/>
        <w:ind w:left="320" w:right="0" w:firstLine="300"/>
        <w:jc w:val="both"/>
        <w:rPr/>
      </w:pPr>
      <w:r>
        <w:rPr>
          <w:i/>
          <w:iCs/>
          <w:color w:val="000000"/>
          <w:spacing w:val="0"/>
          <w:w w:val="100"/>
          <w:shd w:fill="auto" w:val="clear"/>
          <w:vertAlign w:val="superscript"/>
          <w:lang w:val="de-DE" w:eastAsia="de-DE" w:bidi="de-DE"/>
        </w:rPr>
        <w:t>Wenn es also während des Sozialpakts Gegner gibt, macht ihr Widerspruch den Vertrag nicht ungültig, sondern verhindert nur, dass sie in ihn einbezogen werden; sie sind Fremde unter den Bürgern.568</w:t>
      </w:r>
    </w:p>
    <w:p>
      <w:pPr>
        <w:pStyle w:val="Flietext1"/>
        <w:keepNext w:val="false"/>
        <w:keepLines w:val="false"/>
        <w:widowControl w:val="false"/>
        <w:shd w:val="clear" w:color="auto" w:fill="auto"/>
        <w:bidi w:val="0"/>
        <w:spacing w:before="0" w:after="280"/>
        <w:ind w:left="0" w:right="0" w:hanging="0"/>
        <w:jc w:val="both"/>
        <w:rPr/>
      </w:pPr>
      <w:r>
        <w:rPr>
          <w:color w:val="000000"/>
          <w:spacing w:val="0"/>
          <w:w w:val="100"/>
          <w:shd w:fill="auto" w:val="clear"/>
          <w:lang w:val="de-DE" w:eastAsia="de-DE" w:bidi="de-DE"/>
        </w:rPr>
        <w:t>Wenn er suggeriert, dass der Aufenthalt eine Zustimmung beinhaltet, scheint er über Besucher und Ausländer zu sprechen und zu argumentieren, dass auch sie verpflichtet sind, die Souveränität des Staates zu akzeptieren; mit anderen Worten, es ist ein Argument wie Lockes stillschweigende Zustimmung. Da Lockes stillschweigende Zustimmung von ihm als für alle anderen als Eigentümer (einschließlich Bürger) geltend angesehen wird, während Rousseaus „Aufenthalt impliziert Zustimmung“ nur für andere als Bürger gilt, spielt das Argument bei Locke eine viel größere Rolle. Rousseau beschäftigt sich mit der Beziehung der Bürger zum rechtmäßigen Staat, und daher ist die Bemerkung über des etrangers parmi les citoyens viel bezeichnender für seine Stimmung und Absicht; die Bemerkung wird nicht im Zusammenhang mit der Stimmenminorität in der Volksversammlung gemacht. Kendall verschleiert den Punkt nur, indem er ihn folgendermaßen interpretiert:</w:t>
      </w:r>
    </w:p>
    <w:p>
      <w:pPr>
        <w:pStyle w:val="Flietext1"/>
        <w:keepNext w:val="false"/>
        <w:keepLines w:val="false"/>
        <w:widowControl w:val="false"/>
        <w:shd w:val="clear" w:color="auto" w:fill="auto"/>
        <w:bidi w:val="0"/>
        <w:spacing w:lineRule="auto" w:line="240" w:before="0" w:after="280"/>
        <w:ind w:left="320" w:right="0" w:firstLine="300"/>
        <w:jc w:val="left"/>
        <w:rPr/>
      </w:pPr>
      <w:r>
        <w:rPr>
          <w:color w:val="000000"/>
          <w:spacing w:val="0"/>
          <w:w w:val="100"/>
          <w:shd w:fill="auto" w:val="clear"/>
          <w:vertAlign w:val="superscript"/>
          <w:lang w:val="de-DE" w:eastAsia="de-DE" w:bidi="de-DE"/>
        </w:rPr>
        <w:t>Alles, was Rousseau über die Mehrheitsherrschaft zu sagen hatte, sollte in diesem Sinne gelesen werden. Durch den Verbleib in der Gesellschaft schließt sich die Minderheit definitiv der Entscheidung der Mehrheit an, die damit einstimmig wird.568 569</w:t>
      </w:r>
    </w:p>
    <w:p>
      <w:pPr>
        <w:pStyle w:val="Flietext1"/>
        <w:keepNext w:val="false"/>
        <w:keepLines w:val="false"/>
        <w:widowControl w:val="false"/>
        <w:shd w:val="clear" w:color="auto" w:fill="auto"/>
        <w:bidi w:val="0"/>
        <w:spacing w:before="0" w:after="0"/>
        <w:ind w:left="0" w:right="0" w:hanging="0"/>
        <w:jc w:val="both"/>
        <w:rPr/>
      </w:pPr>
      <w:r>
        <w:rPr>
          <w:color w:val="000000"/>
          <w:spacing w:val="0"/>
          <w:w w:val="100"/>
          <w:shd w:fill="auto" w:val="clear"/>
          <w:lang w:val="en-US" w:eastAsia="en-US" w:bidi="en-US"/>
        </w:rPr>
        <w:t>Das ist einfach falsch; die Einstimmigkeit, von der Rousseau träumt und die er als Zeichen der Gesundheit des Staates ansieht366, kommt nicht nach der Abstimmung, sondern während der Abstimmung. Die durch den bloßen Aufenthalt implizierte Zustimmung, die die Zustimmung eines etranger parmi les citoyens ist, unterscheidet sich deutlich von der Zustimmung eines Bürgers und ist nicht mit ihr zu verwechseln. Jeder Versuch, Rousseau auch nur teilweise der Tradition der liberalen Demokratie anzugleichen, stellt ihn falsch dar; Die Abstimmung in der Volksversammlung soll die volonte generale enthüllen, nicht schaffen, und sie dient keinen zusätzlichen rituellen oder symbolischen Funktionen wie der Bestätigung der fortgesetzten Zustimmung eines Mitglieds. Die Minderheit widerruft nicht einmal potentiell ihre Zustimmung; sie weist nach Rousseau lediglich auf ihren Irrtum hin.568 Vielmehr impliziert die anfängliche vorpolitische Tatsache der Mitgliedschaft Zustimmung; die Erwähnung von Gegnern, die nicht vom Vertrag erfasst sind, bezieht sich entweder auf Ausländer oder, da selbst der halbgöttliche Gesetzgeber Korruption nicht heilen, sondern nur verhindern kann, auf eine Bestimmung, die die physische Anwesenheit einiger Personen im rechtmäßigen Staat so schlecht zulässt von der korrupten Gesellschaft betroffen sind, um ihre volle Staatsbürgerschaft in diesem Staat auszuschließen. Die mit der Mitgliedschaft verbundene Zustimmung scheint im Gegensatz zur stillschweigenden Zustimmung korrupter Männer, die nur physisch anwesend sind, keine Zustimmung zu sein, die, sobald sie einmal gegeben wurde, jemals ohne die willkürliche Zustimmung und Erlaubnis der Gemeinschaft selbst zurückgezogen werden kann. Rousseaus Darstellung der bürgerlichen Freiheit scheint keine Auswanderungsfreiheit zu beinhalten. Niemand schlägt vor, dass der Einzelne ein gewisses Recht hat, die Einwilligung zu widerrufen, wodurch er aufhört, ein moralischer Akteur zu sein und zum Naturzustand zurückkehrt;569 ganz abgesehen von der Tatsache, dass ein solcher Vorschlag Rousseaus Begriff des Naturzustands inkohärent macht, es scheint seinem Zweck und seiner Methode ziemlich fremd zu sein. Was auch immer der „zur Freiheit gezwungen“-Kommentar bedeuten mag, er schließt ein solches individuelles Recht auf einseitigen Widerruf mit Sicherheit aus. Die Gemeinschaft könnte aus Zweckmäßigkeitsgründen die Auswanderung zulassen, aber es ist nicht klar, dass ein solches Geschenk nicht gegen den Geist des Vertrags verstoßen würde, da Rousseaus Argument impliziert, dass der Einzelne ein Recht auf Freiheit hat, sogar ein Recht gezwungen, frei zu sein, und würde etwas sehr Kostbares beraubt, wenn ihm dies verweigert würde.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21"/>
        <w:keepNext w:val="false"/>
        <w:keepLines w:val="false"/>
        <w:widowControl w:val="false"/>
        <w:numPr>
          <w:ilvl w:val="0"/>
          <w:numId w:val="30"/>
        </w:numPr>
        <w:shd w:val="clear" w:color="auto" w:fill="auto"/>
        <w:tabs>
          <w:tab w:val="clear" w:pos="720"/>
          <w:tab w:val="left" w:pos="620" w:leader="none"/>
        </w:tabs>
        <w:bidi w:val="0"/>
        <w:spacing w:lineRule="auto" w:line="213" w:before="0" w:after="200"/>
        <w:ind w:left="0" w:right="0" w:firstLine="280"/>
        <w:jc w:val="both"/>
        <w:rPr/>
      </w:pPr>
      <w:r>
        <w:rPr>
          <w:color w:val="000000"/>
          <w:spacing w:val="0"/>
          <w:w w:val="100"/>
          <w:shd w:fill="auto" w:val="clear"/>
          <w:lang w:val="en-US" w:eastAsia="en-US" w:bidi="en-US"/>
        </w:rPr>
        <w:t>John B. Noone, „Der Gesellschaftsvertrag und die Idee der Souveränität bei Rousseau“, in The Journal of Politics, Bd. XXXII (August 1970), p. 706.</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vertAlign w:val="superscript"/>
          <w:lang w:val="de-DE" w:eastAsia="de-DE" w:bidi="de-DE"/>
        </w:rPr>
        <w:t>Eine Verwirrung in Bezug auf dieses Problem besteht darin, dass Rousseau nirgendwo Gemeinschaft definiert; er beschreibt in Du Contrat Social lediglich die legitime Gemeinschaft. Dies wirft das konzeptionelle Problem auf, das zuvor als die Idee der „zwei Verträge“ diskutiert wurde. Es gibt einen Unterschied zwischen dem betrügerischen Vertrag, der von den Reichen (in den Deuxieme Discours) vorgelegt wird, und dem Vertrag, der den legitimen Staat begründet, CS I vi. Manchmal scheint Rousseau anzudeuten, dass ersteres einfach abzulehnen sei; der Gesellschaftsvertrag ist nur unter Bedingungen ungefähr gleichen Eigentums unter den Mitgliedern vorteilhaft,568 und diese Überlegung fehlt ausdrücklich und notwendigerweise im betrügerischen Vertrag. Ein anderes Mal scheint er anzudeuten, dass es selbst in einem korrupten Staat wie Frankreich eine volonte generale gibt, die nur ungehört ist, was darauf hindeutet, dass der erste Vertrag „wirklich“ auch den zweiten Vertrag beinhaltete und die Reichen daher nicht bekamen so gut, wie sie dachten. Dies lässt die Zustimmung noch merkwürdiger erscheinen – die Armen stimmten nicht nur etwas gegen ihr direktes Interesse zu, sondern die Reichen stimmten nicht einmal dem zu, dem sie zuzustimmen glaubten. Anders ausgedrückt lautet die Frage: Ist das (zeitgenössische) Frankreich eine Gemeinschaft mit einer volonte generale? Der Versuch, Rousseau darauf festzunageln, kann nur frustrierend sein. In Du Contrat Social scheint er viel Zeit damit zu verbringen, ein legitimes Gemeinwesen zu beschreiben – in seinen eigenen Worten beschreibt er, wie die Ketten, die ein notwendiger Bestandteil des sozialen Lebens sind, legitimiert werden können – und es ist offensichtlich, dass die Merkmale dieser Utopie unterscheiden sich stark von denen der meisten zeitgenössischen Staaten. Dennoch bleibt er kurz davor, die Revolution zu befürworten;569 nirgendwo in Du Contrat Social wird jemand aufgefordert, eine Bastille zu stürmen oder sogar einen korrupten König zu exekutieren. In der Tat scheint sein gesamter Bericht stark von Pessimismus gefärbt zu sein, und die Gründung des legitimen Staates hängt vom zufälligen Zusammentreffen einer jungen Gemeinschaft und eines gottähnlichen Gesetzgebers ab, der die Verfassung formt und sich dann zurückzieht; Ohne diesen Zufall, dessen Chancen offensichtlich gering sind, gibt es wenig oder gar keinen Grund für Optimismus. Angesichts der Macht des Gesellschaftssystems, die Natur der Menschen zu verändern, könnte es natürlich kaum anders sein. „Für Rousseau gilt ‚l'homme est naturellement bon', und doch ist die Gesellschaft kaum erlösungsfähig.“570 Seinem Wunsch, die Menschen von ihrem allzu offensichtlichen gegenwärtigen Elend zu befreien, fügte Rousseau zwei wesentliche Modifikationen hinzu – erstens eine Verzweiflung für die Aussichten einer solchen Änderung; und zweitens ein Bewusstsein für das chaotische Spiel, das jede größere soziale Veränderung sein müsste. Er erklärt, dass „on sait bien qui—l faut souffrir un mauvais gouvernment quand on l'a... 369 370 371 571 Daher eine umfassende Kritik an der damaligen Gesellschaft, die seltsamerweise mit einer allgemein konservativen Haltung in praktischen Angelegenheiten verbunden ist. Junge Nationen mögen den Rat von Rousseau beherzigen, ebenso wie jene Nationen, die unter ungewöhnlichen Umständen die harte Hand der Tradition abgeschüttelt haben; die Bewohner älterer Nationen können nur ein verlorenes Paradies (der „natürliche“ Mensch) und ein verfaultes Paradies (der legitime Staat) beklagen. (Beide Teile dieser Aussage basieren auf den Argumenten von Judith N. Shklar; der erste Teil aus ihrem Artikel über „Images of Authority“,572 und der zweite aus ihrem Buch Men and Citizens. 573) Es ist meines Erachtens ein Fehler zu sehen, dass Rousseau die Franzosen auffordert, das alte Regime so zu betrachten, als ob es der legitime Staat wäre, Du Contrat Social, Buch II, Kapitel iii-x als „eher gleichnishaft“ zu lesen “, was darauf hindeutet, dass, wenn der Einzelne die Gesellschaft auf diese Weise betrachtet, die Probleme der sozialen Ordnung und der individuellen Freiheit in Einklang gebracht werden können;375 sein allgemeiner Konservatismus entspringt nicht der Legitimität der zeitgenössischen Staaten, sondern der Tiefe seiner eigenen Verzweiflung. Die einzige Antwort, die völlig mit Rousseaus Darstellung übereinstimmt, besteht darin, zuzulassen, dass Frankreich zwar eine volonte generale besitzt, die Regierung jedoch so zusammengesetzt ist, dass sie nicht gehört wird, wodurch die Franzosen so korrupt geworden sind, dass sogar eine Volksversammlungen wären kein wirksames Mittel, um diese volonte generale zu entdecken; der legitime Staat ist eine vorbeugende, nicht heilende Maßnahme in Bezug auf Korruption, und sobald Korruption vorhanden ist, dann ist Verzweiflung und nicht Revolution die angemessene Antwort. Auch wenn Rousseau oft von den wichtigen Persönlichkeiten der Französischen Revolution zitiert wurde, konnten sie ihn nur als Text verwenden, indem sie einen Großteil des Tons seiner Schriften ignorierten. 376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1"/>
        <w:keepNext w:val="false"/>
        <w:keepLines w:val="false"/>
        <w:widowControl w:val="false"/>
        <w:shd w:val="clear" w:color="auto" w:fill="auto"/>
        <w:bidi w:val="0"/>
        <w:spacing w:before="0" w:after="280"/>
        <w:ind w:left="0" w:right="0" w:firstLine="320"/>
        <w:jc w:val="both"/>
        <w:rPr/>
      </w:pPr>
      <w:r>
        <w:rPr>
          <w:color w:val="000000"/>
          <w:spacing w:val="0"/>
          <w:w w:val="100"/>
          <w:shd w:fill="auto" w:val="clear"/>
          <w:vertAlign w:val="superscript"/>
          <w:lang w:val="en-US" w:eastAsia="en-US" w:bidi="en-US"/>
        </w:rPr>
        <w:t>Diese Darstellung macht Sinn für die nationalistischen oder zumindest partikularistischen Züge innerhalb Rousseaus377 – die Zivilreligion, die enge emotionale Einheit (wer ein Gesetz vorschlägt, sagt, was alle in ihrem Herzen fühlen), die intensive Kultivierung von Patriotismus und Loyalität, die implizite Exklusivität und sogar Fremdenfeindlichkeit (obwohl es Freibeträge für die Bewohner von etrangers parmi les citoyens gibt). Der Vertrag schafft eine Gemeinschaft, die durch diese Zustimmung vom Rest der Menschheit getrennt ist, wobei die volonte generale die Substanz dieser Unterscheidung liefert. Die so behandelte volonte generale kann als unbefristete Verpflichtung angesehen werden, die im Voraus bindend ist und sich danach in einer einzigartigen Reaktion auf ihre äußere Umgebung entwickelt; scharfe Unterschiede zwischen verschiedenen Gemeinschaften, selbst wenn angenommen wird, dass alle die schweren moralischen Untertöne beibehalten, die die volonte generale für Rousseau hat, sind nur zu erwarten. Rousseau hat damit die Teleologie wieder in die Theorie der politischen Verpflichtung eingeführt. Locke kehrt zu einem vorpolitischen Naturrechtszustand zurück; Hobbes vermeidet summun bonum-Theorien, um ein summum malum zu vermeiden; aber Rousseau führt wieder eine Vorstellung von einem entstehenden und dynamischen Gemeinwohl und einer auf seine Verwirklichung gerichteten volonte ein, er rechtfertigte den Staat nicht damit, wo er war oder wo er war, sondern wohin er ging, und Strauss missversteht das ganze Projekt völlig wenn er versucht anzudeuten, dass für Rousseau „(c) die Gesellschaft des Bösen nicht in Richtung des höchsten Endes des Menschen, sondern seines Anfangs, seiner frühen Vergangenheit transzendiert werden muss.“378 Der Zweck des legitimen Staates ist Tugend, aber „natürlich“ Der Mensch besitzt nur Güte und ist der Tugend nicht fähig. Während sich die Argumentation von Strauss auf die Deuxieme Discours unter Ausschluss von Du Contrat Social konzentriert, liegt die Stärke und der Wert von Rousseau darin, dass er darüber hinausging. Sein „primäres Interesse war ethisches“ (Cobban)379 und er sah den Staat als eine Art Vorbedingung für Tugend. Was gegenüber dem klassischen griechischen Modell geändert wurde, war die relative Debetonung der Vernunft als zentraler Bestandteil jener Tugend, die durch den Staat angestrebt wird – Rousseaus Musterbürger sind keine Philosophenkönige à la Platon, noch kultivierte Herren a la Aristoteles, sondern einfache paysans, und selbst wenn dem französischen Begriff der Unterton des ungewaschenen Analphabetismus fehlt, der in seiner wörtlichen englischen Übersetzung impliziert wird, beinhaltet er die Ablehnung der Kultiviertheit von Kultur und Wissenschaft. Abgesehen von dieser De-Emphasis, eher eine Frage der Betonung als der Dichotomie, wird Rousseau von Strauss und seinen Schülern schwer fehlbesetzt; Rousseau ist eher ein Alter als ein Moderner oder zumindest der älteste der Modernen, und ein wichtiger Teil seines Unterfangens besteht darin, die Moderne (Voluntarismus) im Namen der Antike (Kohäsion) zurückzudrängen. Mit ihm wird der Staat zu einem Vehikel des moralischen Fortschritts erhoben und verliert die schweren wirtschaftlichen Untertöne, die so offensichtlich bei Aquin, Dante und Marsilius waren, die den Staat in eine riesige Version dieser unpolitischen und sogar antipolitischen Einheit, des Haushalts, verwandelten. 380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21"/>
        <w:keepNext w:val="false"/>
        <w:keepLines w:val="false"/>
        <w:widowControl w:val="false"/>
        <w:numPr>
          <w:ilvl w:val="0"/>
          <w:numId w:val="31"/>
        </w:numPr>
        <w:shd w:val="clear" w:color="auto" w:fill="auto"/>
        <w:tabs>
          <w:tab w:val="clear" w:pos="720"/>
          <w:tab w:val="left" w:pos="625" w:leader="none"/>
        </w:tabs>
        <w:bidi w:val="0"/>
        <w:spacing w:lineRule="auto" w:line="213" w:before="0" w:after="0"/>
        <w:ind w:left="0" w:right="0" w:firstLine="260"/>
        <w:jc w:val="both"/>
        <w:rPr/>
      </w:pPr>
      <w:r>
        <w:rPr>
          <w:color w:val="000000"/>
          <w:spacing w:val="0"/>
          <w:w w:val="100"/>
          <w:shd w:fill="auto" w:val="clear"/>
          <w:lang w:val="en-US" w:eastAsia="en-US" w:bidi="en-US"/>
        </w:rPr>
        <w:t>Dies ist die Interpretation, die William Pickles in „The Notion of Time in Rousseaus Political Thought“, in Cranston &amp; Peters (Hrsg.), Hobbes und Rousseau, S. 392.</w:t>
      </w:r>
    </w:p>
    <w:p>
      <w:pPr>
        <w:pStyle w:val="Flietext21"/>
        <w:keepNext w:val="false"/>
        <w:keepLines w:val="false"/>
        <w:widowControl w:val="false"/>
        <w:numPr>
          <w:ilvl w:val="0"/>
          <w:numId w:val="31"/>
        </w:numPr>
        <w:shd w:val="clear" w:color="auto" w:fill="auto"/>
        <w:tabs>
          <w:tab w:val="clear" w:pos="720"/>
          <w:tab w:val="left" w:pos="625" w:leader="none"/>
        </w:tabs>
        <w:bidi w:val="0"/>
        <w:spacing w:lineRule="auto" w:line="216" w:before="0" w:after="0"/>
        <w:ind w:left="0" w:right="0" w:firstLine="260"/>
        <w:jc w:val="both"/>
        <w:rPr/>
      </w:pPr>
      <w:r>
        <w:rPr>
          <w:color w:val="000000"/>
          <w:spacing w:val="0"/>
          <w:w w:val="100"/>
          <w:shd w:fill="auto" w:val="clear"/>
          <w:lang w:val="en-US" w:eastAsia="en-US" w:bidi="en-US"/>
        </w:rPr>
        <w:t>Vgl. Gordon McNeil, „Der antirevolutionäre Rousseau“, in The American Historical Review, Bd. LVIII (1952-3), S. 808-823.</w:t>
      </w:r>
    </w:p>
    <w:p>
      <w:pPr>
        <w:pStyle w:val="Flietext21"/>
        <w:keepNext w:val="false"/>
        <w:keepLines w:val="false"/>
        <w:widowControl w:val="false"/>
        <w:numPr>
          <w:ilvl w:val="0"/>
          <w:numId w:val="31"/>
        </w:numPr>
        <w:shd w:val="clear" w:color="auto" w:fill="auto"/>
        <w:tabs>
          <w:tab w:val="clear" w:pos="720"/>
          <w:tab w:val="left" w:pos="659" w:leader="none"/>
        </w:tabs>
        <w:bidi w:val="0"/>
        <w:spacing w:lineRule="auto" w:line="192" w:before="0" w:after="0"/>
        <w:ind w:left="0" w:right="0" w:firstLine="260"/>
        <w:jc w:val="both"/>
        <w:rPr/>
      </w:pPr>
      <w:r>
        <w:rPr>
          <w:i/>
          <w:iCs/>
          <w:color w:val="000000"/>
          <w:spacing w:val="0"/>
          <w:w w:val="100"/>
          <w:shd w:fill="auto" w:val="clear"/>
          <w:lang w:val="en-US" w:eastAsia="en-US" w:bidi="en-US"/>
        </w:rPr>
        <w:t>Wie z. Crocker, Rousseaus Gesellschaftsvertrag.</w:t>
      </w:r>
    </w:p>
    <w:p>
      <w:pPr>
        <w:pStyle w:val="Flietext21"/>
        <w:keepNext w:val="false"/>
        <w:keepLines w:val="false"/>
        <w:widowControl w:val="false"/>
        <w:numPr>
          <w:ilvl w:val="0"/>
          <w:numId w:val="31"/>
        </w:numPr>
        <w:shd w:val="clear" w:color="auto" w:fill="auto"/>
        <w:tabs>
          <w:tab w:val="clear" w:pos="720"/>
          <w:tab w:val="left" w:pos="659" w:leader="none"/>
        </w:tabs>
        <w:bidi w:val="0"/>
        <w:spacing w:lineRule="auto" w:line="192" w:before="0" w:after="0"/>
        <w:ind w:left="0" w:right="0" w:firstLine="260"/>
        <w:jc w:val="both"/>
        <w:rPr/>
      </w:pPr>
      <w:r>
        <w:rPr>
          <w:color w:val="000000"/>
          <w:spacing w:val="0"/>
          <w:w w:val="100"/>
          <w:shd w:fill="auto" w:val="clear"/>
          <w:lang w:val="en-US" w:eastAsia="en-US" w:bidi="en-US"/>
        </w:rPr>
        <w:t>Strauss, Naturrecht und Geschichte, S. 282.</w:t>
      </w:r>
    </w:p>
    <w:p>
      <w:pPr>
        <w:pStyle w:val="Flietext21"/>
        <w:keepNext w:val="false"/>
        <w:keepLines w:val="false"/>
        <w:widowControl w:val="false"/>
        <w:numPr>
          <w:ilvl w:val="0"/>
          <w:numId w:val="31"/>
        </w:numPr>
        <w:shd w:val="clear" w:color="auto" w:fill="auto"/>
        <w:tabs>
          <w:tab w:val="clear" w:pos="720"/>
          <w:tab w:val="left" w:pos="659" w:leader="none"/>
        </w:tabs>
        <w:bidi w:val="0"/>
        <w:spacing w:lineRule="auto" w:line="192" w:before="0" w:after="200"/>
        <w:ind w:left="0" w:right="0" w:firstLine="260"/>
        <w:jc w:val="both"/>
        <w:rPr/>
      </w:pPr>
      <w:r>
        <w:rPr>
          <w:color w:val="000000"/>
          <w:spacing w:val="0"/>
          <w:w w:val="100"/>
          <w:shd w:fill="auto" w:val="clear"/>
          <w:lang w:val="en-US" w:eastAsia="en-US" w:bidi="en-US"/>
        </w:rPr>
        <w:t>Cobban, Rousseau und der moderne Staat, S. 220.</w:t>
      </w:r>
    </w:p>
    <w:p>
      <w:pPr>
        <w:pStyle w:val="Flietext1"/>
        <w:keepNext w:val="false"/>
        <w:keepLines w:val="false"/>
        <w:widowControl w:val="false"/>
        <w:shd w:val="clear" w:color="auto" w:fill="auto"/>
        <w:bidi w:val="0"/>
        <w:spacing w:before="0" w:after="0"/>
        <w:ind w:left="0" w:right="0" w:firstLine="260"/>
        <w:jc w:val="both"/>
        <w:rPr/>
      </w:pPr>
      <w:r>
        <w:rPr>
          <w:color w:val="000000"/>
          <w:spacing w:val="0"/>
          <w:w w:val="100"/>
          <w:shd w:fill="auto" w:val="clear"/>
          <w:lang w:val="en-US" w:eastAsia="en-US" w:bidi="en-US"/>
        </w:rPr>
        <w:t>Aber das ist nur eine erste Annäherung an Rousseaus Gedanken. Eine solche Darstellung ist glaubwürdig und plausibel für den moralischen Relativismus oder zumindest den ethischen Nichtkognitivismus, der im zeitgenössischen Diskurs so allgegenwärtig ist. Es erleichtert auch die Assimilation Rousseaus an etwas, das sich einer voluntaristischen Konzeption des Vertrags nähert. Sicherlich macht eine solche Interpretation die politische Philosophie von Jean-Jacques Rousseau zu keiner geringen Leistung. Im abschließenden Abschnitt dieses Unterfangens wird diese erste Annäherung an Rousseau als Ergänzung zur Strenge der Hobbesschen „minimalen Ordnung“ weiter verwendet. Es ist ein starkes und überzeugendes Argument, das die Philosophie erheblich beeinflusst hat, auch wenn dies nicht immer in Richtungen gegangen ist, die Rousseau selbst gutgeheißen hätte. Es ist jedoch ein Argument, das erreicht und aufrechterhalten werden kann, indem man ein bestimmtes Argument bei Rousseau ignoriert und zurückweist – nämlich seinen Begriff der Tugend.</w:t>
      </w:r>
    </w:p>
    <w:p>
      <w:pPr>
        <w:pStyle w:val="Flietext1"/>
        <w:keepNext w:val="false"/>
        <w:keepLines w:val="false"/>
        <w:widowControl w:val="false"/>
        <w:shd w:val="clear" w:color="auto" w:fill="auto"/>
        <w:bidi w:val="0"/>
        <w:spacing w:before="0" w:after="0"/>
        <w:ind w:left="0" w:right="0" w:firstLine="260"/>
        <w:jc w:val="both"/>
        <w:rPr/>
      </w:pPr>
      <w:r>
        <w:rPr>
          <w:color w:val="000000"/>
          <w:spacing w:val="0"/>
          <w:w w:val="100"/>
          <w:shd w:fill="auto" w:val="clear"/>
          <w:lang w:val="en-US" w:eastAsia="en-US" w:bidi="en-US"/>
        </w:rPr>
        <w:t>Die erste Annäherung an Rousseau ist nicht einfach ein Strohmann, aber Rousseau ist es auch nicht. Vielmehr geht es darum, ihm einen Nichtkognitivismus, einen Relativismus, einen Gradualismus und einen Voluntarismus in einer solchen Größenordnung zurückzulesen, dass sein Denken verzerrt wird. Natürlich wird der Vertrag normalerweise als voluntaristisches Mittel angesehen, aber das heißt nicht, dass er von seinen historischen Nutzern als solches gesehen worden sein muss, und der gesamte Zweck dieser Arbeit besteht darin, eine nicht-voluntaristische Sichtweise vorzuschlagen den Vertrag, den sie möglicherweise im Sinn hatten, und das würde besser erklären, was normalerweise als paradoxe oder widersprüchliche Merkmale ihrer Argumente angesehen wird. Es ist nicht zu leugnen, dass das Argument für die politische Verpflichtung bei Rousseau fest auf diesem problematischen Konzept, der volonte generale, beruht. Eine solche volonte scheint am besten so verstanden zu werden, dass sie nicht in den materiellen Interessen eines Individuums verwurzelt ist, noch so, dass sie auf ein bestimmtes Gut eines Aggregats oder einer Gemeinschaft gerichtet ist, sondern eher auf bestimmten grundlegenden Eigenschaften des Menschen basiert. Es sind viele verschiedene gesellschaftliche Arrangements denkbar, aber von diesen ist nur eine auf den höchsten aller menschlichen Zwecke ausgerichtet, die Verwirklichung der Tugend, und diese gesellschaftliche Form wird in Du Contrat Social beschrieben. Diese Tugend wird nicht durch die Operationen oder Eventualitäten einer bestimmten Gemeinschaft bestimmt, noch könnte sie sich von einer Gemeinschaft zur anderen unterscheiden; vielmehr ist es eine objektive Eigenschaft, die allen Menschen als Menschen innewohnt, auf die eine legitime Gemeinschaft ihren Zweck ausrichtet. Wie Derathe381 und Masters382 anmerken, hat Rousseau das Naturrecht als solches nie abgelehnt (obwohl Plamenatz ihn sehr nahe gekommen sieht),383 sondern lediglich Einwände gegen die Behauptung erhoben, dass der Mensch im Naturzustand in der Lage ist, seinen Inhalt zu kennen oder seine Anforderungen zu erfüllen. Nur in der Gesellschaft wird der Mensch vernunftfähig, im Gegensatz zu dem Tier, das er vorher war; nur im rechtmäßigen Staat, der sich der bürgerlichen Freiheit und wahrer Bildung erfreut, ist der Einzelne fähig, diese Vernunft zu nutzen, um das Naturrecht zu entdecken und zu erfüllen. Ohne ein Urteil über die Eignung dieser vollständigen Assimilation Rousseaus an die Tradition des Naturrechts abzugeben, ist es unmöglich, zwei wichtige Teile der Behauptung nicht zuzulassen: Erstens gibt es einen objektiven Tugendstandard, der unabhängig vom Willen existiert und Bedeutung hat Meinung oder materielles Interesse einer oder mehrerer Personen; und zweitens kann diese Tugend von Menschen nur durch die legitime Gemeinschaft verwirklicht werden, und aus dieser Tatsache leitet eine solche Gemeinschaft ihre Legitimität ab. Auf die Verwirklichung dieser Tugend, die Entfaltung dieses höchsten Potentials des Menschen, ist die volonte generale ausgerichtet, und weil diese Tugend nur durch kollektives Handeln angestrebt werden kann, schließt sie grundsätzliche Meinungsverschiedenheiten seitens aller Mitglieder aus. Es ist daher völlig unangemessen, Crocker vorzuwerfen, dass für Rousseau der Zweck der Bildung nichts anderes ist als die Schaffung handhabbarer Bürger durch Indoktrination384, sondern die Entwicklung des wichtigsten Teils seiner selbst im Individuum Sein. Um eine Gartenmetapher zu verwenden, stellt sich Rousseau nicht vor, etwas Neues zu pflanzen, sondern eher das Wachstum von etwas zu ermöglichen, das in jedem Individuum bereits vorhanden ist, indem verhindert wird, dass es von Unkraut erstickt wird. Rousseau ist kein liberaler Individualist, der Wert auf die Kultivierung der Einzigartigkeit der individuellen Persönlichkeit legt, aber das heißt nicht, dass er nicht immer noch ein echter Individualist anderer Art ist.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1"/>
        <w:keepNext w:val="false"/>
        <w:keepLines w:val="false"/>
        <w:widowControl w:val="false"/>
        <w:shd w:val="clear" w:color="auto" w:fill="auto"/>
        <w:bidi w:val="0"/>
        <w:spacing w:before="0" w:after="260"/>
        <w:ind w:left="0" w:right="0" w:hanging="0"/>
        <w:jc w:val="both"/>
        <w:rPr/>
      </w:pPr>
      <w:r>
        <w:rPr>
          <w:color w:val="000000"/>
          <w:spacing w:val="0"/>
          <w:w w:val="100"/>
          <w:shd w:fill="auto" w:val="clear"/>
          <w:lang w:val="en-US" w:eastAsia="en-US" w:bidi="en-US"/>
        </w:rPr>
        <w:t>Nochmals, um die Metapher zu verwenden, die Freiheit, Ihren Garten mit Unkraut zu füllen, ist überhaupt keine Freiheit, und solche Aktivitäten zeigen lediglich, dass Sie kein Gärtner sind.</w:t>
      </w:r>
    </w:p>
    <w:p>
      <w:pPr>
        <w:pStyle w:val="Flietext21"/>
        <w:keepNext w:val="false"/>
        <w:keepLines w:val="false"/>
        <w:widowControl w:val="false"/>
        <w:numPr>
          <w:ilvl w:val="0"/>
          <w:numId w:val="31"/>
        </w:numPr>
        <w:shd w:val="clear" w:color="auto" w:fill="auto"/>
        <w:tabs>
          <w:tab w:val="clear" w:pos="720"/>
          <w:tab w:val="left" w:pos="670" w:leader="none"/>
        </w:tabs>
        <w:bidi w:val="0"/>
        <w:spacing w:lineRule="auto" w:line="189" w:before="0" w:after="0"/>
        <w:ind w:left="0" w:right="0" w:firstLine="280"/>
        <w:jc w:val="both"/>
        <w:rPr/>
      </w:pPr>
      <w:r>
        <w:rPr>
          <w:color w:val="000000"/>
          <w:spacing w:val="0"/>
          <w:w w:val="100"/>
          <w:shd w:fill="auto" w:val="clear"/>
          <w:lang w:val="en-US" w:eastAsia="en-US" w:bidi="en-US"/>
        </w:rPr>
        <w:t>Vgl. Arendt, Conditio Humana, Kap. II</w:t>
      </w:r>
    </w:p>
    <w:p>
      <w:pPr>
        <w:pStyle w:val="Flietext21"/>
        <w:keepNext w:val="false"/>
        <w:keepLines w:val="false"/>
        <w:widowControl w:val="false"/>
        <w:numPr>
          <w:ilvl w:val="0"/>
          <w:numId w:val="31"/>
        </w:numPr>
        <w:shd w:val="clear" w:color="auto" w:fill="auto"/>
        <w:tabs>
          <w:tab w:val="clear" w:pos="720"/>
          <w:tab w:val="left" w:pos="670" w:leader="none"/>
        </w:tabs>
        <w:bidi w:val="0"/>
        <w:spacing w:lineRule="auto" w:line="189" w:before="0" w:after="0"/>
        <w:ind w:left="0" w:right="0" w:firstLine="280"/>
        <w:jc w:val="both"/>
        <w:rPr/>
      </w:pPr>
      <w:r>
        <w:rPr>
          <w:color w:val="000000"/>
          <w:spacing w:val="0"/>
          <w:w w:val="100"/>
          <w:shd w:fill="auto" w:val="clear"/>
          <w:lang w:val="en-US" w:eastAsia="en-US" w:bidi="en-US"/>
        </w:rPr>
        <w:t>Dejrathe, Rousseau und die Politikwissenschaft, S. 163.</w:t>
      </w:r>
    </w:p>
    <w:p>
      <w:pPr>
        <w:pStyle w:val="Flietext21"/>
        <w:keepNext w:val="false"/>
        <w:keepLines w:val="false"/>
        <w:widowControl w:val="false"/>
        <w:numPr>
          <w:ilvl w:val="0"/>
          <w:numId w:val="31"/>
        </w:numPr>
        <w:shd w:val="clear" w:color="auto" w:fill="auto"/>
        <w:tabs>
          <w:tab w:val="clear" w:pos="720"/>
          <w:tab w:val="left" w:pos="620" w:leader="none"/>
        </w:tabs>
        <w:bidi w:val="0"/>
        <w:spacing w:lineRule="auto" w:line="213" w:before="0" w:after="0"/>
        <w:ind w:left="0" w:right="0" w:firstLine="280"/>
        <w:jc w:val="both"/>
        <w:rPr/>
      </w:pPr>
      <w:r>
        <w:rPr>
          <w:color w:val="000000"/>
          <w:spacing w:val="0"/>
          <w:w w:val="100"/>
          <w:shd w:fill="auto" w:val="clear"/>
          <w:lang w:val="en-US" w:eastAsia="en-US" w:bidi="en-US"/>
        </w:rPr>
        <w:t>Masters, „Die Struktur von Rousseaus politischem Denken“, in Cranston &amp; Peters (Hrsg.), Hobbes und Rousseau, p. 406; vgl. Roger D. Masters, Die politische Philosophie von Rousseau, p. 269.</w:t>
      </w:r>
    </w:p>
    <w:p>
      <w:pPr>
        <w:pStyle w:val="Flietext21"/>
        <w:keepNext w:val="false"/>
        <w:keepLines w:val="false"/>
        <w:widowControl w:val="false"/>
        <w:numPr>
          <w:ilvl w:val="0"/>
          <w:numId w:val="31"/>
        </w:numPr>
        <w:shd w:val="clear" w:color="auto" w:fill="auto"/>
        <w:tabs>
          <w:tab w:val="clear" w:pos="720"/>
          <w:tab w:val="left" w:pos="650" w:leader="none"/>
        </w:tabs>
        <w:bidi w:val="0"/>
        <w:spacing w:lineRule="auto" w:line="189" w:before="0" w:after="200"/>
        <w:ind w:left="0" w:right="0" w:firstLine="260"/>
        <w:jc w:val="both"/>
        <w:rPr/>
      </w:pPr>
      <w:r>
        <w:rPr>
          <w:color w:val="000000"/>
          <w:spacing w:val="0"/>
          <w:w w:val="100"/>
          <w:shd w:fill="auto" w:val="clear"/>
          <w:lang w:val="en-US" w:eastAsia="en-US" w:bidi="en-US"/>
        </w:rPr>
        <w:t>Plamenatz, „Über Forcers d'Etre Libre“, S. 321.</w:t>
      </w:r>
    </w:p>
    <w:p>
      <w:pPr>
        <w:pStyle w:val="Flietext1"/>
        <w:keepNext w:val="false"/>
        <w:keepLines w:val="false"/>
        <w:widowControl w:val="false"/>
        <w:shd w:val="clear" w:color="auto" w:fill="auto"/>
        <w:bidi w:val="0"/>
        <w:spacing w:before="0" w:after="300"/>
        <w:ind w:left="0" w:right="0" w:firstLine="280"/>
        <w:jc w:val="both"/>
        <w:rPr/>
      </w:pPr>
      <w:r>
        <w:rPr>
          <w:color w:val="000000"/>
          <w:spacing w:val="0"/>
          <w:w w:val="100"/>
          <w:shd w:fill="auto" w:val="clear"/>
          <w:lang w:val="en-US" w:eastAsia="en-US" w:bidi="en-US"/>
        </w:rPr>
        <w:t>Dies erklärt dann Rousseaus Gleichgültigkeit gegenüber jeder offenkundigen Zustimmung. Er hat in Du Contrat Social eine Blaupause für die legitime Gesellschaft entworfen, die Gesellschaft, die Zustimmung verdient, weil sie allein es dem einzelnen Bürger ermöglicht, diese Fähigkeit zur Tugend und moralischen Exzellenz zu erreichen. Sein rechtmäßiger Zustand gründet sich auf die tiefsten und wichtigsten Aspekte dessen, was Menschen menschlich macht. Insofern verdient der rechtmäßige Staat die Zustimmung nicht nur, sondern erzwingt sie geradezu; ein Mensch, der die Natur der Gesellschaft und des Menschen versteht, kann sich nicht weigern, einer solchen Gesellschaft zuzustimmen, ohne den wesentlichen Teil seines eigenen menschlichen Wesens zu leugnen und aufzugeben. Die Einwilligung muss nicht nachgewiesen werden; es kann einfach angenommen (oder richtiger unterstellt) werden. Die volonte generale ist wirklich allgemein, weil sie auf das gemeinsame Ziel aller Menschen, die Tugend, ausgerichtet ist, und es ist eher untertrieben, dies gelegentlich als interet commun zu bezeichnen. Rousseau ist weder ein liberaler Individualist noch ein Kollektivist; er ist ein aufrichtiger Individualist, aber das Individuum, mit dem er sich beschäftigt, ist der „natürliche“ Mensch, nicht das Einzigartige in jedem Individuum, das ihn von allen anderen unterscheidet, sondern das wesentliche Minimum, das allen Menschen gemeinsam ist, sofern sie Männer sind. Solange der dritte Weg unbemerkt bleibt, ist es für viele schwierig, überhaupt das Ziel zu finden, auf das sie schießen wollen. Nisbet, der sieht, dass Rousseau kein liberaler Individualist ist, kommt zu dem Schluss, dass er ein totalitärer Kollektivist sein muss; Chapman, der sieht, dass Rousseau kein Kollektivist oder Organist ist, kommt zu dem Schluss, dass er ein liberaler Demokrat sein muss. Beide reduzieren Rousseau auf einen Strohmann ihrer eigenen Schöpfung. Beides wird ihm nicht gerecht.</w:t>
      </w:r>
    </w:p>
    <w:p>
      <w:pPr>
        <w:pStyle w:val="Flietext21"/>
        <w:keepNext w:val="false"/>
        <w:keepLines w:val="false"/>
        <w:widowControl w:val="false"/>
        <w:numPr>
          <w:ilvl w:val="0"/>
          <w:numId w:val="31"/>
        </w:numPr>
        <w:shd w:val="clear" w:color="auto" w:fill="auto"/>
        <w:tabs>
          <w:tab w:val="clear" w:pos="720"/>
          <w:tab w:val="left" w:pos="650" w:leader="none"/>
        </w:tabs>
        <w:bidi w:val="0"/>
        <w:spacing w:lineRule="auto" w:line="189" w:before="0" w:after="200"/>
        <w:ind w:left="0" w:right="0" w:firstLine="260"/>
        <w:jc w:val="both"/>
        <w:rPr/>
      </w:pPr>
      <w:r>
        <w:rPr>
          <w:color w:val="000000"/>
          <w:spacing w:val="0"/>
          <w:w w:val="100"/>
          <w:shd w:fill="auto" w:val="clear"/>
          <w:lang w:val="en-US" w:eastAsia="en-US" w:bidi="en-US"/>
        </w:rPr>
        <w:t>Crocker, Rousseaus Gesellschaftsvertrag, S. 9-10.</w:t>
      </w:r>
    </w:p>
    <w:p>
      <w:pPr>
        <w:pStyle w:val="Flietext1"/>
        <w:keepNext w:val="false"/>
        <w:keepLines w:val="false"/>
        <w:widowControl w:val="false"/>
        <w:shd w:val="clear" w:color="auto" w:fill="auto"/>
        <w:bidi w:val="0"/>
        <w:spacing w:before="0" w:after="240"/>
        <w:ind w:left="0" w:right="0" w:firstLine="280"/>
        <w:jc w:val="both"/>
        <w:rPr/>
      </w:pPr>
      <w:r>
        <w:rPr>
          <w:color w:val="000000"/>
          <w:spacing w:val="0"/>
          <w:w w:val="100"/>
          <w:shd w:fill="auto" w:val="clear"/>
          <w:lang w:val="en-US" w:eastAsia="en-US" w:bidi="en-US"/>
        </w:rPr>
        <w:t>Auf dieser Grundlage lässt sich der Partikularismus Rousseaus besser ins rechte Licht rücken. Er schlug keine kleinen Staaten und keinen intensiven Patriotismus vor, nur aus instrumentalistischen Gründen. Es gibt nur einen „natürlichen“ Menschen; es gibt nur eine menschliche Natur; es gibt nur einen Tugendbegriff, dessen Entwicklung der legitime Staat erleichtern soll; es gibt nur einen legitimen Staat, der dieses Tugendpotenzial realisieren kann. Wie Crocker bemerkt, ist es „(t)typisch für Rousseaus dogmatischen Geisteszustand“, dass „es nur einen ‚richtigen‘ Vertrag gibt“ und dass „die geringste Änderung ihn null und nichtig macht“385 (obwohl es Crocker entgeht, dass dies der Fall ist ist genau dieser Dogmatismus, der Rousseau von der geringsten Bindung an eine totalitäre Diktatur befreit, die nur die oberflächlichste Ähnlichkeit mit seinem legitimen Staat hat). Angesichts des methodologischen Rahmens von Rousseau konnte er zu keinem anderen Schluss kommen: Da es nur einen „natürlichen“ Menschen gibt, kann es auch nur einen legitimen Staat geben. Der glühende Nationalismus als bürgerliche Religion bezieht sich nicht auf eine inhaltliche Unterscheidung zwischen legitimen Staaten, die wirklich nach Tugend streben, sondern auf Rousseaus platonischen Pessimismus – sobald der legitime Staat verwirklicht ist, wird sein Konservatismus intensiviert und er ist besorgt, dass die Wahrheiten dieses legitim sind Verfassung sollte unveränderlich und unerschütterlich in die Tradition dieses Staates eingebettet sein. Rousseaus Ähnlichkeit mit dem modernen Nationalismus ist oberflächlich. Nationalismus verkörpert die Behauptung, dass es etwas Besonderes und Einzigartiges an dieser Nation gibt, das durch die selbstbezogenen Handlungen dieser Nation geschützt und verherrlicht werden muss. Für Rousseau kann nichts Besonderes und Einzigartiges einen solchen Wert haben; nur die eine unveränderliche menschliche Tugend besitzt einen solchen Status, und Nationalismus ist wertvoll, nicht wegen der Förderung eines solchen Partikularismus, sondern weil es zufällig wahr ist, dass solche Taktiken am besten die Verfassungsform fördern und aufrechterhalten, die zu diesem universellen menschlichen Wert, der Errungenschaft, beiträgt der Tugend.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21"/>
        <w:keepNext w:val="false"/>
        <w:keepLines w:val="false"/>
        <w:widowControl w:val="false"/>
        <w:numPr>
          <w:ilvl w:val="0"/>
          <w:numId w:val="31"/>
        </w:numPr>
        <w:shd w:val="clear" w:color="auto" w:fill="auto"/>
        <w:tabs>
          <w:tab w:val="clear" w:pos="720"/>
          <w:tab w:val="left" w:pos="639" w:leader="none"/>
        </w:tabs>
        <w:bidi w:val="0"/>
        <w:spacing w:lineRule="auto" w:line="240" w:before="0" w:after="200"/>
        <w:ind w:left="0" w:right="0" w:firstLine="240"/>
        <w:jc w:val="left"/>
        <w:rPr/>
      </w:pPr>
      <w:r>
        <w:rPr>
          <w:color w:val="000000"/>
          <w:spacing w:val="0"/>
          <w:w w:val="100"/>
          <w:shd w:fill="auto" w:val="clear"/>
          <w:lang w:val="en-US" w:eastAsia="en-US" w:bidi="en-US"/>
        </w:rPr>
        <w:t>Ebd., p. 59.</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Rousseaus Gebrauch des Sozialvertragsinstruments ist daher im Grunde dasselbe wie das von Hobbes und Locke, obwohl dies nicht heißen soll, dass er es zu demselben Zweck verwendet hat. Die Wirkung des unterstellten Vertrages besteht immer darin, die Aufmerksamkeit auf den geförderten Zweck zu lenken, wobei die Zustimmung selbst zweitrangig und vorausgesetzt wird. Für Hobbes war dieses Ziel Sicherheit; für Locke und Rousseau ging es um das Naturrecht oder zumindest um Tugendprinzipien mit großen Ähnlichkeiten zum Naturrecht. Gleichzeitig nahm er eine bedeutende Änderung vor, die von größter Bedeutung war. Sowohl für Hobbes als auch für Locke sind der Mensch im Naturzustand und der Mensch in der Gesellschaft dasselbe; Der Vertrag, der auf dem aufgeklärten Interesse der Individuen am Naturzustand beruht, berührt nicht die psychologische oder moralische Verfassung der vertragschließenden Individuen, sondern ändert nur den Kontext der Operationen dieser Individuen. Weder Hobbes noch Locke haben ein Interesse daran, den natürlichen Menschen und den sozialen Menschen gegenüberzustellen; ein solcher Gegensatz hätte keine Bedeutung, denn das erzeugte Verhältnis wäre immer Eins. Vielmehr vergleichen sie den Zustand der Natur mit dem gesellschaftlichen Zustand, und dieser Gegensatz nährt die Argumentation. Rousseau hingegen führt den Begriff der Sozialisation ein. Seine Beschwörung der Natur ist nicht der Naturzustand, sondern der natürliche (oder wesentliche) Mensch, und sein Gegensatz ist nicht nur der Unterschied in der physischen Umgebung des natürlichen und des sozialen Menschen, sondern die Wirkung, die dieser Unterschied auf das Individuum hatte. Für Hobbes und Locke ändert sich der Mensch nicht; für Rousseau ändert sich zwar der „natürliche“ Mensch nicht und kann sich nicht ändern, der Mensch selbst jedoch – der Mensch ist zumindest teilweise das Artefakt seiner Umgebung. Für Rousseau bedeutet der Vergleich des natürlichen Zustands und des bürgerlichen Zustands einen Vergleich zweier unterschiedlicher Naturen, und diese Vielfalt menschlicher Naturen ist es, die seine entscheidende Unterscheidung zu Hobbes und Locke ausmacht. Für die beiden Engländer ist die Abstraktion der Zustand der Natur, den sie dann fröhlich mit ihren eigenen Zeitgenossen bevölkern. Für Rousseau sind sowohl der Naturzustand als auch der dort vorgefundene „natürliche“ Mensch Abstraktionen; seine Zeitgenossen können auf dieser Stufe der Auseinandersetzung eben deshalb nicht auftreten, weil sie sozialisiert und damit keine natürlichen Menschen mehr sind.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1"/>
        <w:keepNext w:val="false"/>
        <w:keepLines w:val="false"/>
        <w:widowControl w:val="false"/>
        <w:shd w:val="clear" w:color="auto" w:fill="auto"/>
        <w:bidi w:val="0"/>
        <w:spacing w:before="0" w:after="260"/>
        <w:ind w:left="0" w:right="0" w:firstLine="320"/>
        <w:jc w:val="both"/>
        <w:rPr/>
      </w:pPr>
      <w:r>
        <w:rPr>
          <w:color w:val="000000"/>
          <w:spacing w:val="0"/>
          <w:w w:val="100"/>
          <w:shd w:fill="auto" w:val="clear"/>
          <w:lang w:val="en-US" w:eastAsia="en-US" w:bidi="en-US"/>
        </w:rPr>
        <w:t>Dies hat natürlich weitere Implikationen für die Möglichkeit von Reformen, und es macht es sehr merkwürdig, dass, während Hobbes der Gegner des Bürgerkriegs und Locke der zögernde Legitimator eines sehr milden war, Rousseau oft als solcher dargestellt wird der Anstifter einer der größten gesellschaftlichen Umwälzungen aller Zeiten. Die Sichtweise des Individuums als soziales Atom ist logischerweise eher zugänglich für soziale Experimente und für die Vorstellung, dass Veränderungen in Institutionen Probleme schnell und einfach lösen können. Die Institutionen konstituieren Kontingenzen von Konsequenzen für die völlig autonomen Individuen, die in ihnen untergebracht sind. Die Motivationen dieser autonomen Individuen sind unveränderlich und feststellbar; Daher ruft eine Änderung in einer Institution eine ziemlich vorhersehbare Reaktion hervor, da sich die Bedürfnisse der von dieser Institution betroffenen Personen nicht ändern werden, und wir können berechnen, welche Verhaltensänderungen erforderlich sind, damit sie die gleichen Ziele auf neue Weise maximieren können Umstände. Wie Bälle in einem Flipperautomaten tummeln sich Einzelpersonen einfach in ihren Institutionen, und das Ändern eines Pfostens oder Hindernisses ist auf vorhersehbare und kontrollierbare Weise einfach und effektiv. Auf der anderen Seite ist die Theorie, die das Individuum als formbar ansieht, viel weniger optimistisch, was die Hoffnungen auf sozialen Wandel angeht, zumindest kurzfristig. Die Tatsache, dass die Gesellschaft unsere Persönlichkeit so prägen kann, ist einer der Gründe, warum Rousseau die Aussichten für seinen legitimen Staat so düster beurteilte und die Änderungen für seine Verwirklichung auf junge Staaten beschränkte. Shklar geht sogar so weit zu behaupten, dass es Rousseaus Einsichten in die Psychologie waren, noch mehr als Burkes beredter Traditionalismus, die allen Hoffnungen auf einfache Reformen die strengsten Grenzen setzten. 386 Indem Rousseau nicht nur den Vertrag, sondern auch das vertragschließende Individuum zu einer so offensichtlichen und vollständigen Abstraktion machte, machte er das soziale Vertragsinstrument komplexer und schien es zu untergraben. Individualismus (nicht Voluntarismus) ist die logische Voraussetzung des Vertragsmittels; Indem Rousseau die Sozialisation als einen Faktor in der Individualpsychologie betonte, schien er die Spaltung zwischen dem Individuum und der Gesellschaft zu unterminieren, die die offensichtliche Begründung für diese Voraussetzung lieferte. Wie schwerwiegend diese Untergrabung war, werden wir an späterer Stelle untersuchen.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21"/>
        <w:keepNext w:val="false"/>
        <w:keepLines w:val="false"/>
        <w:widowControl w:val="false"/>
        <w:numPr>
          <w:ilvl w:val="0"/>
          <w:numId w:val="31"/>
        </w:numPr>
        <w:shd w:val="clear" w:color="auto" w:fill="auto"/>
        <w:tabs>
          <w:tab w:val="clear" w:pos="720"/>
          <w:tab w:val="left" w:pos="645" w:leader="none"/>
        </w:tabs>
        <w:bidi w:val="0"/>
        <w:spacing w:lineRule="auto" w:line="240" w:before="0" w:after="200"/>
        <w:ind w:left="0" w:right="0" w:firstLine="260"/>
        <w:jc w:val="left"/>
        <w:rPr/>
      </w:pPr>
      <w:r>
        <w:rPr>
          <w:color w:val="000000"/>
          <w:spacing w:val="0"/>
          <w:w w:val="100"/>
          <w:shd w:fill="auto" w:val="clear"/>
          <w:lang w:val="en-US" w:eastAsia="en-US" w:bidi="en-US"/>
        </w:rPr>
        <w:t>Shklar, „Rousseaus Bilder der Autorität“, in Cranston &amp; Peters, op. cit., p. 364.</w:t>
      </w:r>
    </w:p>
    <w:p>
      <w:pPr>
        <w:sectPr>
          <w:footerReference w:type="even" r:id="rId21"/>
          <w:footerReference w:type="default" r:id="rId22"/>
          <w:type w:val="nextPage"/>
          <w:pgSz w:w="12240" w:h="15840"/>
          <w:pgMar w:left="1476" w:right="1477" w:gutter="0" w:header="0" w:top="1420" w:footer="808" w:bottom="1236"/>
          <w:pgNumType w:fmt="decimal"/>
          <w:formProt w:val="false"/>
          <w:textDirection w:val="lrTb"/>
          <w:docGrid w:type="default" w:linePitch="360" w:charSpace="0"/>
        </w:sectPr>
        <w:pStyle w:val="Flietext1"/>
        <w:keepNext w:val="false"/>
        <w:keepLines w:val="false"/>
        <w:widowControl w:val="false"/>
        <w:shd w:val="clear" w:color="auto" w:fill="auto"/>
        <w:bidi w:val="0"/>
        <w:spacing w:before="0" w:after="240"/>
        <w:ind w:left="0" w:right="0" w:firstLine="280"/>
        <w:jc w:val="both"/>
        <w:rPr/>
      </w:pPr>
      <w:r>
        <w:rPr>
          <w:color w:val="000000"/>
          <w:spacing w:val="0"/>
          <w:w w:val="100"/>
          <w:shd w:fill="auto" w:val="clear"/>
          <w:lang w:val="en-US" w:eastAsia="en-US" w:bidi="en-US"/>
        </w:rPr>
        <w:t>Auf Hobbes, Locke und Rousseau wurde das unterstellte Vertragsmittel wiederum nicht angewandt, mit dem Hinweis, dass eine solche Interpretation Schwierigkeiten und Paradoxien in den Schriften beider löst, die ansonsten äußerst problematisch, wenn nicht sogar unlösbar sind. Die Art der Vorrichtung wird nun weiter erläutert, indem sie mit einem Beispiel eines willkürlichen oder freiwilligen Vertrags verglichen wird.</w:t>
      </w:r>
    </w:p>
    <w:p>
      <w:pPr>
        <w:pStyle w:val="Berschrift11"/>
        <w:keepNext w:val="true"/>
        <w:keepLines/>
        <w:widowControl w:val="false"/>
        <w:numPr>
          <w:ilvl w:val="0"/>
          <w:numId w:val="32"/>
        </w:numPr>
        <w:shd w:val="clear" w:color="auto" w:fill="auto"/>
        <w:tabs>
          <w:tab w:val="clear" w:pos="720"/>
          <w:tab w:val="left" w:pos="457" w:leader="none"/>
        </w:tabs>
        <w:bidi w:val="0"/>
        <w:spacing w:lineRule="auto" w:line="240" w:before="0" w:after="380"/>
        <w:ind w:left="440" w:right="0" w:hanging="440"/>
        <w:jc w:val="left"/>
        <w:rPr/>
      </w:pPr>
      <w:bookmarkStart w:id="30" w:name="bookmark39"/>
      <w:bookmarkStart w:id="31" w:name="bookmark41"/>
      <w:bookmarkStart w:id="32" w:name="bookmark40"/>
      <w:r>
        <w:rPr>
          <w:spacing w:val="0"/>
          <w:w w:val="100"/>
          <w:shd w:fill="auto" w:val="clear"/>
          <w:lang w:val="en-US" w:eastAsia="en-US" w:bidi="en-US"/>
        </w:rPr>
        <w:t>Das Thema geklärt: 1. Der unterstellte Vertrag und John Rawls</w:t>
      </w:r>
      <w:bookmarkEnd w:id="30"/>
      <w:bookmarkEnd w:id="31"/>
      <w:bookmarkEnd w:id="32"/>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Um die Natur des unterstellten Vertrags klarer hervorzuheben, wird es nützlich sein, ihm ein Gesellschaftsvertragsargument gegenüberzustellen, das sich nicht auf einen unterstellten Vertrag stützt; das hier verwendete Beispiel wird das des zeitgenössischen politischen Philosophen John Rawls sein. Die Diskussion konzentriert sich nur auf seine Verwendung des Vertrags und inwieweit er aus dem Vertrag eine Vorstellung von politischer Verpflichtung ableitet; es wird sich zum Beispiel nicht an der Debatte darüber beteiligen, ob das, was Rawls diskutiert, legitimerweise unter der Überschrift Gerechtigkeit gehandhabt werden kann – ob es sich stattdessen um einen utilitaristischen Ansatz für soziale Wohlfahrt handelt (von Wolff568 vorgeschlagen, aber von O'Connor bestritten), 569 oder ob es zu wenig um Wüste geht, um eine vollständige Bedeutung von Gerechtigkeit zu haben (von Barry vorgeschlagen).570 Diese terminologische Frage ist zweitrangig, und Rawls' Bestimmungen zu diesem Punkt werden durchweg akzeptiert.</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Auf den ersten Blick ist es etwas schwierig, Rawls' Kontraktarismus in Bezug auf den unterstellten Vertragsmodus zu lokalisieren, da er selbst manchmal unter eine solche Rubrik zu fallen scheint, wie in seinem früheren „Justice as Fairness“.568 Hier legt er zwei fest: eigentlich drei – Standards: I. Jede Person, die an einer Praxis teilnimmt, hat das gleiche Recht auf die umfassendste Freiheit, die mit einer gleichen Freiheit für alle vereinbar ist; IIa. Ungleichheiten sind willkürlich, es sei denn, es ist vernünftigerweise zu erwarten, dass sie sich zum Vorteil aller auswirken; Ilb. ungleich begünstigte Positionen oder Ämter müssen allen offen stehen.569 Diese, so schlägt er vor, seien ein wesentlicher und notwendiger Teil der Gerechtigkeit. Mit anderen Worten, er weiß zumindest einen Teil dessen, was der Vertrag sein wird, im Voraus, denn es kann nur um Gerechtigkeit gehen, und er weiß, was Gerechtigkeit ist. Das ist das vertraute Muster des unterstellten Vertrages, weniger eine Frage der Zustimmung als vielmehr des einfachen Verständnisses.</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Was ist dann von seiner Argumentation in „Die Rechtfertigung des zivilen Ungehorsams“ zu halten?391 568 Dort spricht er von einem anfänglichen Vertrag, der von Einzelpersonen geschlossen wird, die durch einen „Schleier“ daran gehindert werden, Wissen über ihre eigene soziale Position und persönliche Begabung zu besitzen der Unwissenheit“, und in dem die Mitglieder den Maßstab der Gerechtigkeit bestimmen, der ihre zukünftigen Beratungen leiten und einschränken soll. Wenn „Gerechtigkeit als Fairness“ der Gerechtigkeit eine vollständige Bedeutung gibt, dann ist dies ein etwas irreführendes Verfahren, ähnlich einer Gruppe von Mathematikern, die freiwillig der Aussage zustimmen, dass 2 + 2 gleich 4 ist – mit anderen Worten, es ist der unterstellte Vertrag. Aber wenn dies der Fall ist, dann muss das Konzept der Gerechtigkeit für alle Gesellschaften identisch sein, und es gibt keinen Grund für Rawls, seine Behandlung auf konstitutionelle Regierungen zu beschränken oder auch nur die Möglichkeit von Relativismus oder legitimer grundlegender Meinungsverschiedenheit anzudeuten, Dinge, die er scheint zuzugeben.</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Was ist dann weiter von der Aussage zu halten, dass die von jedem Einzelnen akzeptierten Grundsätze für alle künftigen Gelegenheiten bindend sein sollen? Diskussionen über Rawls konzentrieren sich ausnahmslos auf diesen Punkt als Grundlage seiner Argumentation.568 Gäbe es eine und nur eine mögliche Schlussfolgerung, dann wäre dieses Merkmal überflüssig; Jedes Mal, wenn ein Individuum seine Vernunft auf ein Problem anwendet, wird er auf die gleiche Antwort kommen, und die Klausel „in Zukunft bindend“ ist unnötig. In ähnlicher Weise würden Meinungsverschiedenheiten leicht gelöst werden, nicht indem man auf frühere Übereinstimmungen hinweist, sondern indem man auf gegenwärtige rationale Überlegungen hinweist. Die Vorstellung, zum Zeitpunkt X + Y an die Zustimmung zum Zeitpunkt X gebunden zu sein, ist nur dann vollständig verständlich, wenn wir davon ausgehen, dass diese Zustimmung die Art von Handlung war, die eine freie Wahl zwischen einer Reihe gleichermaßen gangbarer und gleichermaßen akzeptabler Alternativen beinhaltet; Wenn sich die Anzahl der legitimen brauchbaren Alternativen auf eine reduziert, haben wir den Grenzfall des unterstellten Vertrags, aber dann hängt das Argument von dieser Reduzierung ab, nicht von der Wahl. Auch hier ist der Relativismus von Rawls bezeichnend für den Gebrauch, den er von dem Vertragsmittel macht. Der Abschluss und damit der Inhalt des Vertrags haben keinen einmaligen Wert, sondern bleiben eine Wahl, weshalb es wichtig ist, den vermeintlichen oder hypothetischen Vertrag, durch den diese Vereinbarung zustande kommt, ausführlich zu beschreiben.</w:t>
      </w:r>
    </w:p>
    <w:p>
      <w:pPr>
        <w:pStyle w:val="Flietext1"/>
        <w:keepNext w:val="false"/>
        <w:keepLines w:val="false"/>
        <w:widowControl w:val="false"/>
        <w:shd w:val="clear" w:color="auto" w:fill="auto"/>
        <w:bidi w:val="0"/>
        <w:spacing w:before="0" w:after="260"/>
        <w:ind w:left="0" w:right="0" w:firstLine="280"/>
        <w:jc w:val="both"/>
        <w:rPr/>
      </w:pPr>
      <w:r>
        <w:rPr>
          <w:color w:val="000000"/>
          <w:spacing w:val="0"/>
          <w:w w:val="100"/>
          <w:shd w:fill="auto" w:val="clear"/>
          <w:lang w:val="en-US" w:eastAsia="en-US" w:bidi="en-US"/>
        </w:rPr>
        <w:t>Rawls kann nur dann vor der Inkohärenz gerettet werden, wenn wir davon ausgehen, dass er seine Definition von Gerechtigkeit als eine „nackte Knochen“-Definition versteht, deren Fleisch durch den im Wesentlichen willkürlichen und wiederholbaren Weg des tatsächlichen Vertrags geliefert wird. Die Grundzüge jeder vertraglichen Bestimmung von Gerechtigkeit sind durch die zwei/drei Gerechtigkeitsprinzipien gegeben, aber die zusätzlichen Details sind es nicht – die Standards, die er vorschlägt, lassen eine Reihe, aber nicht unendlich viele, konkurrierender Gerechtigkeitskonzepte für die vertragliche Ratifizierung durch . Diese Prinzipien sind formal; die Ablehnung willkürlicher Unterscheidungen zwischen Individuen, die seit Aristoteles akzeptiert wird, ist nichtssagend, es sei denn, es gibt weitere Mittel, um zu wissen, welche Unterscheidungen nicht willkürlich sind, was das ganze Problem der Gerechtigkeit ist. (Das soll nicht heißen, dass es sklavisch von Aristoteles kopiert wurde; wie Barry betont, wird Gerechtigkeit normalerweise als eine rückwärtsgewandte „Gleichbehandlung von Gleichen“ in Bezug auf Wüsten angesehen, während sie für Rawls in Bezug auf Wüsten zukunftsweisend ist Ungleichheiten, die in verbesserten Bedingungen für alle münden.394 Daher Wolffs Kritik, dass die Rawls-Gerechtigkeit auf den Utilitarismus in Bezug auf die soziale Wohlfahrt reduziert wird395 , obwohl der Angriff in einigen Details fehlerhaft sein mag (wie von O'Connor hervorgehoben),396 er ist grundsätzlich zutreffend weisen auf den Wechsel von rückwärtsgerichteter zu vorwärtsgerichteter Gerechtigkeit als Analogie zu einem Wechsel von Wüsten und Vergeltung zu (künftiger) sozialer Wohlfahrt hin. Bei all seinen gelegentlichen Schnörkeln397 neigt Rawls dazu, sich auf einen ziemlich konsequenten und sogar ziemlich materialistischen Utilitarismus zu reduzieren.) Sein zweites Prinzip, dass Gleichheit gilt, außer wo Ungleichheit allen zugute kommt, ist noch schwieriger anzuwenden, und er selbst gibt später zu, dass es auf einer Reihe von nicht objektiven Faktoren beruht. 398 Wolff beharrt darauf, dass die Kriterien von Rawls derart sind, dass es schwierig und ungewöhnlich wäre, auf dieser Grundlage endgültig zwischen Alternativen wählen zu können, da es keine Schlussfolgerung gibt, zu der sie führen;399 O'Connor widerspricht jedoch den Einzelheiten der die Anklageschrift räumt ein, dass die Kriterien rein negativ sind400 – Rawls hat keinen Bauplan für die Gesellschaft aufgestellt, sondern nur Standards aufgestellt, die es uns ermöglichen zu sagen, dass bestimmte soziale Arrangements ungerecht sind.401 (Zum Beispiel die „Chancengleichheit ”-Klausel verurteilt die Sklavenhaltung eindeutig, da die Spitzenpositionen in solchen Gesellschaften nicht allen, sondern nur Nicht-Sklaven offen stehen. )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21"/>
        <w:keepNext w:val="false"/>
        <w:keepLines w:val="false"/>
        <w:widowControl w:val="false"/>
        <w:numPr>
          <w:ilvl w:val="0"/>
          <w:numId w:val="33"/>
        </w:numPr>
        <w:shd w:val="clear" w:color="auto" w:fill="auto"/>
        <w:tabs>
          <w:tab w:val="clear" w:pos="720"/>
          <w:tab w:val="left" w:pos="639" w:leader="none"/>
        </w:tabs>
        <w:bidi w:val="0"/>
        <w:spacing w:lineRule="auto" w:line="240" w:before="0" w:after="0"/>
        <w:ind w:left="0" w:right="0" w:firstLine="240"/>
        <w:jc w:val="left"/>
        <w:rPr/>
      </w:pPr>
      <w:r>
        <w:rPr>
          <w:color w:val="000000"/>
          <w:spacing w:val="0"/>
          <w:w w:val="100"/>
          <w:shd w:fill="auto" w:val="clear"/>
          <w:lang w:val="en-US" w:eastAsia="en-US" w:bidi="en-US"/>
        </w:rPr>
        <w:t>Barry, „Über soziale Gerechtigkeit“, S. 39.</w:t>
      </w:r>
    </w:p>
    <w:p>
      <w:pPr>
        <w:pStyle w:val="Flietext21"/>
        <w:keepNext w:val="false"/>
        <w:keepLines w:val="false"/>
        <w:widowControl w:val="false"/>
        <w:numPr>
          <w:ilvl w:val="0"/>
          <w:numId w:val="33"/>
        </w:numPr>
        <w:shd w:val="clear" w:color="auto" w:fill="auto"/>
        <w:tabs>
          <w:tab w:val="clear" w:pos="720"/>
          <w:tab w:val="left" w:pos="639" w:leader="none"/>
        </w:tabs>
        <w:bidi w:val="0"/>
        <w:spacing w:before="0" w:after="200"/>
        <w:ind w:left="0" w:right="0" w:firstLine="240"/>
        <w:jc w:val="left"/>
        <w:rPr/>
      </w:pPr>
      <w:r>
        <w:rPr>
          <w:color w:val="000000"/>
          <w:spacing w:val="0"/>
          <w:w w:val="100"/>
          <w:shd w:fill="auto" w:val="clear"/>
          <w:lang w:val="en-US" w:eastAsia="en-US" w:bidi="en-US"/>
        </w:rPr>
        <w:t>Wolff, „Eine Widerlegung von Rawls' Theorem of Justice“, p. 190.</w:t>
      </w:r>
    </w:p>
    <w:p>
      <w:pPr>
        <w:pStyle w:val="Flietext1"/>
        <w:keepNext w:val="false"/>
        <w:keepLines w:val="false"/>
        <w:widowControl w:val="false"/>
        <w:shd w:val="clear" w:color="auto" w:fill="auto"/>
        <w:bidi w:val="0"/>
        <w:spacing w:before="0" w:after="300"/>
        <w:ind w:left="0" w:right="0" w:firstLine="280"/>
        <w:jc w:val="both"/>
        <w:rPr/>
      </w:pPr>
      <w:r>
        <w:rPr>
          <w:color w:val="000000"/>
          <w:spacing w:val="0"/>
          <w:w w:val="100"/>
          <w:shd w:fill="auto" w:val="clear"/>
          <w:lang w:val="en-US" w:eastAsia="en-US" w:bidi="en-US"/>
        </w:rPr>
        <w:t>Rawls hat also viel weniger als eine vollständige Definition von Gerechtigkeit geliefert, und die Bestimmung einer bestimmten Auffassung von Gerechtigkeit, die auf ein bestimmtes System anzuwenden ist, kann als willkürlicher Akt dargestellt werden – das heißt, als eine wiederholbare Wahl zwischen gleichermaßen legitimen Alternativen. Die Ähnlichkeiten zum unterstellten Vertrag sind nur oberflächlich. Während Hobbes, Locke und Rousseau die einzigen Prinzipien festlegen wollten, die jeder legitimen Politik zugrunde liegen könnten, gibt Rawls zu, dass er Fragen nur innerhalb einer gegebenen kulturellen und sozialen Struktur stellt – seine Interpretation ist implizit relativistisch. Impliziter Relativismus, willkürliche voluntaristische Wahl sind typisch für die orthodoxe Vertragsauslegung; angenommener Universalismus, nicht willkürliche Wahl charakterisieren den unterstellten Vertrag. Das soll nicht heißen, dass sein Bericht in dieser Hinsicht frei von Ambivalenzen ist. An manchen Stellen spricht er sehr selbstbewusst von „den Grundsätzen der Gerechtigkeit“ tout court und redet, als ob das ganze Verfahren nur eine Lösung zulasse tragfähiger demokratischer Ordnung gibt es einen gemeinsamen Gerechtigkeitsbegriff, nach dem seine Bürger ihre politischen Angelegenheiten regeln und die Verfassung interpretieren.“403 Gemeint ist jetzt „ein“ Gerechtigkeitsbegriff; Die von ihm vorgeschlagenen Gerechtigkeitsprinzipien ergeben keine eindeutige Lösung, und es gibt Raum für einen begrenzten, aber signifikanten Relativismus.</w:t>
      </w:r>
    </w:p>
    <w:p>
      <w:pPr>
        <w:pStyle w:val="Flietext21"/>
        <w:keepNext w:val="false"/>
        <w:keepLines w:val="false"/>
        <w:widowControl w:val="false"/>
        <w:numPr>
          <w:ilvl w:val="0"/>
          <w:numId w:val="33"/>
        </w:numPr>
        <w:shd w:val="clear" w:color="auto" w:fill="auto"/>
        <w:tabs>
          <w:tab w:val="clear" w:pos="720"/>
          <w:tab w:val="left" w:pos="659" w:leader="none"/>
        </w:tabs>
        <w:bidi w:val="0"/>
        <w:spacing w:lineRule="auto" w:line="189" w:before="0" w:after="0"/>
        <w:ind w:left="0" w:right="0" w:firstLine="260"/>
        <w:jc w:val="both"/>
        <w:rPr/>
      </w:pPr>
      <w:r>
        <w:rPr>
          <w:color w:val="000000"/>
          <w:spacing w:val="0"/>
          <w:w w:val="100"/>
          <w:shd w:fill="auto" w:val="clear"/>
          <w:lang w:val="en-US" w:eastAsia="en-US" w:bidi="en-US"/>
        </w:rPr>
        <w:t>O'Connor, „Wolff, Rawls und die Prinzipien der Gerechtigkeit“, passim.</w:t>
      </w:r>
    </w:p>
    <w:p>
      <w:pPr>
        <w:pStyle w:val="Flietext21"/>
        <w:keepNext w:val="false"/>
        <w:keepLines w:val="false"/>
        <w:widowControl w:val="false"/>
        <w:numPr>
          <w:ilvl w:val="0"/>
          <w:numId w:val="33"/>
        </w:numPr>
        <w:shd w:val="clear" w:color="auto" w:fill="auto"/>
        <w:tabs>
          <w:tab w:val="clear" w:pos="720"/>
          <w:tab w:val="left" w:pos="625" w:leader="none"/>
        </w:tabs>
        <w:bidi w:val="0"/>
        <w:spacing w:lineRule="auto" w:line="225" w:before="0" w:after="200"/>
        <w:ind w:left="0" w:right="0" w:firstLine="260"/>
        <w:jc w:val="both"/>
        <w:rPr/>
      </w:pPr>
      <w:r>
        <w:rPr>
          <w:color w:val="000000"/>
          <w:spacing w:val="0"/>
          <w:w w:val="100"/>
          <w:shd w:fill="auto" w:val="clear"/>
          <w:lang w:val="en-US" w:eastAsia="en-US" w:bidi="en-US"/>
        </w:rPr>
        <w:t>Zum Beispiel: „Bei der Entscheidung über die Gerechtigkeit einer Praxis reicht es nicht aus, sicherzustellen, dass sie den Wünschen und Interessen in umfassender und effektivster Weise entspricht. Denn wenn einige von diesen der Gerechtigkeit widersprechen, sollten sie nicht gezählt werden; Ihre Zufriedenheit ist kein Grund für eine Praxis.“ Rawls, „Gerechtigkeit als Fairness“, S. 496.</w:t>
      </w:r>
    </w:p>
    <w:p>
      <w:pPr>
        <w:pStyle w:val="Flietext21"/>
        <w:keepNext w:val="false"/>
        <w:keepLines w:val="false"/>
        <w:widowControl w:val="false"/>
        <w:numPr>
          <w:ilvl w:val="0"/>
          <w:numId w:val="33"/>
        </w:numPr>
        <w:shd w:val="clear" w:color="auto" w:fill="auto"/>
        <w:tabs>
          <w:tab w:val="clear" w:pos="720"/>
          <w:tab w:val="left" w:pos="659" w:leader="none"/>
        </w:tabs>
        <w:bidi w:val="0"/>
        <w:spacing w:lineRule="auto" w:line="189" w:before="0" w:after="0"/>
        <w:ind w:left="0" w:right="0" w:firstLine="260"/>
        <w:jc w:val="both"/>
        <w:rPr/>
      </w:pPr>
      <w:r>
        <w:rPr>
          <w:color w:val="000000"/>
          <w:spacing w:val="0"/>
          <w:w w:val="100"/>
          <w:shd w:fill="auto" w:val="clear"/>
          <w:lang w:val="en-US" w:eastAsia="en-US" w:bidi="en-US"/>
        </w:rPr>
        <w:t>Rawls, „Rechtfertigung zivilen Ungehorsams“, S. 350.</w:t>
      </w:r>
    </w:p>
    <w:p>
      <w:pPr>
        <w:pStyle w:val="Flietext21"/>
        <w:keepNext w:val="false"/>
        <w:keepLines w:val="false"/>
        <w:widowControl w:val="false"/>
        <w:numPr>
          <w:ilvl w:val="0"/>
          <w:numId w:val="33"/>
        </w:numPr>
        <w:shd w:val="clear" w:color="auto" w:fill="auto"/>
        <w:tabs>
          <w:tab w:val="clear" w:pos="720"/>
          <w:tab w:val="left" w:pos="659" w:leader="none"/>
        </w:tabs>
        <w:bidi w:val="0"/>
        <w:spacing w:lineRule="auto" w:line="189" w:before="0" w:after="0"/>
        <w:ind w:left="0" w:right="0" w:firstLine="260"/>
        <w:jc w:val="both"/>
        <w:rPr/>
      </w:pPr>
      <w:r>
        <w:rPr>
          <w:color w:val="000000"/>
          <w:spacing w:val="0"/>
          <w:w w:val="100"/>
          <w:shd w:fill="auto" w:val="clear"/>
          <w:lang w:val="en-US" w:eastAsia="en-US" w:bidi="en-US"/>
        </w:rPr>
        <w:t>Wolff, „Eine Widerlegung des Rawls-Gerechtigkeitssatzes“, S. 185.</w:t>
      </w:r>
    </w:p>
    <w:p>
      <w:pPr>
        <w:pStyle w:val="Flietext21"/>
        <w:keepNext w:val="false"/>
        <w:keepLines w:val="false"/>
        <w:widowControl w:val="false"/>
        <w:numPr>
          <w:ilvl w:val="0"/>
          <w:numId w:val="33"/>
        </w:numPr>
        <w:shd w:val="clear" w:color="auto" w:fill="auto"/>
        <w:tabs>
          <w:tab w:val="clear" w:pos="720"/>
          <w:tab w:val="left" w:pos="625" w:leader="none"/>
        </w:tabs>
        <w:bidi w:val="0"/>
        <w:spacing w:lineRule="auto" w:line="213" w:before="0" w:after="0"/>
        <w:ind w:left="0" w:right="0" w:firstLine="260"/>
        <w:jc w:val="both"/>
        <w:rPr/>
      </w:pPr>
      <w:r>
        <w:rPr>
          <w:color w:val="000000"/>
          <w:spacing w:val="0"/>
          <w:w w:val="100"/>
          <w:shd w:fill="auto" w:val="clear"/>
          <w:lang w:val="en-US" w:eastAsia="en-US" w:bidi="en-US"/>
        </w:rPr>
        <w:t>Mit anderen Worten, sie diskutieren ein Nicht-Thema: Wolff sagt, dass Rawls keine positiven Kriterien liefert, während O'Connor bestreitet, dass er es jemals versucht hat. Sie sind somit materiellrechtliche Vereinbarungen.</w:t>
      </w:r>
    </w:p>
    <w:p>
      <w:pPr>
        <w:pStyle w:val="Flietext21"/>
        <w:keepNext w:val="false"/>
        <w:keepLines w:val="false"/>
        <w:widowControl w:val="false"/>
        <w:numPr>
          <w:ilvl w:val="0"/>
          <w:numId w:val="33"/>
        </w:numPr>
        <w:shd w:val="clear" w:color="auto" w:fill="auto"/>
        <w:tabs>
          <w:tab w:val="clear" w:pos="720"/>
          <w:tab w:val="left" w:pos="639" w:leader="none"/>
        </w:tabs>
        <w:bidi w:val="0"/>
        <w:spacing w:lineRule="auto" w:line="189" w:before="0" w:after="200"/>
        <w:ind w:left="0" w:right="0" w:firstLine="240"/>
        <w:jc w:val="both"/>
        <w:rPr/>
      </w:pPr>
      <w:r>
        <w:rPr>
          <w:color w:val="000000"/>
          <w:spacing w:val="0"/>
          <w:w w:val="100"/>
          <w:shd w:fill="auto" w:val="clear"/>
          <w:lang w:val="en-US" w:eastAsia="en-US" w:bidi="en-US"/>
        </w:rPr>
        <w:t>O'Connor, „Wolff, Rawls und die Prinzipien der Gerechtigkeit“, S. 93.</w:t>
      </w:r>
    </w:p>
    <w:p>
      <w:pPr>
        <w:pStyle w:val="Flietext1"/>
        <w:keepNext w:val="false"/>
        <w:keepLines w:val="false"/>
        <w:widowControl w:val="false"/>
        <w:shd w:val="clear" w:color="auto" w:fill="auto"/>
        <w:bidi w:val="0"/>
        <w:spacing w:before="0" w:after="280"/>
        <w:ind w:left="0" w:right="0" w:firstLine="260"/>
        <w:jc w:val="both"/>
        <w:rPr/>
      </w:pPr>
      <w:r>
        <w:rPr>
          <w:color w:val="000000"/>
          <w:spacing w:val="0"/>
          <w:w w:val="100"/>
          <w:shd w:fill="auto" w:val="clear"/>
          <w:lang w:val="en-US" w:eastAsia="en-US" w:bidi="en-US"/>
        </w:rPr>
        <w:t>Rawls beginnt seinen Bericht damit, dass sich die Mitglieder der Gesellschaft treffen, um eine Bedeutung für Gerechtigkeit zu bestimmen, die alle ihre zukünftigen Handlungen, sowohl konstitutiv als auch gesetzgebend, entscheiden oder zumindest einschränken wird. Es ist dieses Treffen, das den Kontraktualismus von Rawls ausmacht, da dieses Treffen der Gründung der Gesellschaft vorausgeht und ihre Begründung und Legitimität liefert. Die Rechtfertigung einer Amtshandlung oder eines Gesetzes oder einer Institution wird sich immer auf diese anfängliche Definitionsvereinbarung beziehen (und damit Canavans Kritik widersprechen, dass die Gesellschaftsvertragstheorie immer rückwärtsgewandt und nicht dynamisch ist; selbst dort, wo es Raum für Fortschritte in Richtung eines Ideals gibt , das Ideal selbst ist statisch). Von hier aus gehen sie zu einem Verfassungskonvent, und in beiden Sitzungen operieren sie unter einem Schleier der Unwissenheit – sie kennen ihren eigenen Stand im Leben oder ihre relativen Talente nicht und stellen eine Verfassungsform auf, als ob ihr schlimmerer Feind ihnen ihre zuweisen würde Stellen darin.404 (Das Mittel erinnert an Platons Mythos von Er in Buch X der Republik, aber man sucht vergeblich nach einem solchen Hinweis.) Die Frage ist, welcher Natur diese Behauptung ist? Ist es historisch – können wir in die Geschichte zurückblicken, um die Zeugnisse und Einstellungen der Gründerväter zu untersuchen (um die Rawls-Formel auf das offensichtliche amerikanische Beispiel anzuwenden)? Offensichtlich nicht; der Schleier der Ignoranz würde fehlen, selbst wenn wir die Anschuldigungen revisionistischer Historiker wie Charles Beard zurückweisen würden.405 Doch weil Rawls sich auf konstitutionelle Gesellschaften beschränkt,406 ist Geschichte nicht einfach irrelevant; zumindest gibt es eine sehr reale Konkretisierung der Gerechtigkeit in Form der Verfassung, die für Rawls nur als Verkörperung einer solchen Vereinbarung von Bedeutung ist. Der Vertrag ist historisch genug, dass wir uns auf seine Bedingungen beziehen können, aber nicht historisch genug, um die Motive und Vorurteile seiner Verfasser erneut zu untersuchen. Der Vertrag ist zugleich eine „Als-ob“-Hypothese und eine ziemlich großzügige Interpretation eines „ist“.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21"/>
        <w:keepNext w:val="false"/>
        <w:keepLines w:val="false"/>
        <w:widowControl w:val="false"/>
        <w:numPr>
          <w:ilvl w:val="0"/>
          <w:numId w:val="33"/>
        </w:numPr>
        <w:shd w:val="clear" w:color="auto" w:fill="auto"/>
        <w:tabs>
          <w:tab w:val="clear" w:pos="720"/>
          <w:tab w:val="left" w:pos="620" w:leader="none"/>
        </w:tabs>
        <w:bidi w:val="0"/>
        <w:spacing w:lineRule="auto" w:line="208" w:before="0" w:after="0"/>
        <w:ind w:left="0" w:right="0" w:firstLine="280"/>
        <w:jc w:val="both"/>
        <w:rPr/>
      </w:pPr>
      <w:r>
        <w:rPr>
          <w:color w:val="000000"/>
          <w:spacing w:val="0"/>
          <w:w w:val="100"/>
          <w:shd w:fill="auto" w:val="clear"/>
          <w:lang w:val="en-US" w:eastAsia="en-US" w:bidi="en-US"/>
        </w:rPr>
        <w:t>Zum Beispiel: „Männer sollen sich auf die Grundsätze der Gerechtigkeit einigen“ und „Die Grundsätze der Gerechtigkeit liefern ein Kriterium für die gewünschten Gesetze“ … Rawls, „Die Rechtfertigung des zivilen Ungehorsams“, p. S46.</w:t>
      </w:r>
    </w:p>
    <w:p>
      <w:pPr>
        <w:pStyle w:val="Flietext21"/>
        <w:keepNext w:val="false"/>
        <w:keepLines w:val="false"/>
        <w:widowControl w:val="false"/>
        <w:numPr>
          <w:ilvl w:val="0"/>
          <w:numId w:val="33"/>
        </w:numPr>
        <w:shd w:val="clear" w:color="auto" w:fill="auto"/>
        <w:tabs>
          <w:tab w:val="clear" w:pos="720"/>
          <w:tab w:val="left" w:pos="639" w:leader="none"/>
        </w:tabs>
        <w:bidi w:val="0"/>
        <w:spacing w:lineRule="auto" w:line="187" w:before="0" w:after="200"/>
        <w:ind w:left="0" w:right="0" w:firstLine="240"/>
        <w:jc w:val="left"/>
        <w:rPr/>
      </w:pPr>
      <w:r>
        <w:rPr>
          <w:color w:val="000000"/>
          <w:spacing w:val="0"/>
          <w:w w:val="100"/>
          <w:shd w:fill="auto" w:val="clear"/>
          <w:lang w:val="en-US" w:eastAsia="en-US" w:bidi="en-US"/>
        </w:rPr>
        <w:t>Ebd., p. 348.</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Um offensichtliche Einwände zu vermeiden und auf das Wesentliche zu kommen, was ist die Natur von John Rawls' Vertrag?</w:t>
      </w:r>
    </w:p>
    <w:p>
      <w:pPr>
        <w:pStyle w:val="Flietext1"/>
        <w:keepNext w:val="false"/>
        <w:keepLines w:val="false"/>
        <w:widowControl w:val="false"/>
        <w:shd w:val="clear" w:color="auto" w:fill="auto"/>
        <w:bidi w:val="0"/>
        <w:spacing w:before="0" w:after="260"/>
        <w:ind w:left="0" w:right="0" w:firstLine="280"/>
        <w:jc w:val="both"/>
        <w:rPr/>
      </w:pPr>
      <w:r>
        <w:rPr>
          <w:color w:val="000000"/>
          <w:spacing w:val="0"/>
          <w:w w:val="100"/>
          <w:shd w:fill="auto" w:val="clear"/>
          <w:lang w:val="en-US" w:eastAsia="en-US" w:bidi="en-US"/>
        </w:rPr>
        <w:t>Erstens ist es individualistisch. Das ist so etwas wie eine Tautologie – der Individualismus liegt der eigentlichen Wurzel des Vertragsmechanismus zugrunde –, aber genauer gesagt, die Individuen, die er ins Auge fasst, sind autonome Einheiten, die als vollwertige moralische Agenten in den Vertrag eintreten. Es gibt einige Zweifel über den Schleier der Unwissenheit, der angenommen wird, wobei nicht schuldhafte Unwissenheit normalerweise ein mildernder Faktor bei angeblichen moralischen Übertretungen ist, aber dieser Schleier ist ausdrücklich auf die Eventualitäten der Position eines bestimmten Individuums in der Gesellschaft beschränkt, die etabliert wird.407 Es ist wirklich eine ziemlich umständliche Art, die übliche Forderung nach Unparteilichkeit in moralischen Urteilen zu formulieren, nicht mehr und nicht weniger. Die Unwissenheit schließt weder die Fähigkeit aus, sich die Gesellschaft vorzustellen und ihre Strukturen zu organisieren, noch die Folgen in Bezug auf das Glück oder den Nutzen verschiedener Klassen innerhalb des Systems vorherzusehen oder die Effizienz zu beurteilen, noch macht sie das Individuum so, dass es seine ausschließt Besitz der Grundlagen der Moral oder seine Fähigkeit zur Zusammenarbeit mit anderen, um eine umfassende Moral zu bilden. Ausgangspunkt für Rawls' Vertrag ist jener Mythos des autonomen Individuums, der einen wichtigen Teil des liberalen Begriffsarsenals bildet. Das „vorsoziale“ und damit unsozialisierte selbständige atomistische Individuum ist bereits eine moralische und rationale Einheit; In dieser Hinsicht folgt Rawls eher der Argumentationsform von Locke und Hobbes als von Rousseau.</w:t>
      </w:r>
    </w:p>
    <w:p>
      <w:pPr>
        <w:pStyle w:val="Flietext21"/>
        <w:keepNext w:val="false"/>
        <w:keepLines w:val="false"/>
        <w:widowControl w:val="false"/>
        <w:numPr>
          <w:ilvl w:val="0"/>
          <w:numId w:val="33"/>
        </w:numPr>
        <w:shd w:val="clear" w:color="auto" w:fill="auto"/>
        <w:tabs>
          <w:tab w:val="clear" w:pos="720"/>
          <w:tab w:val="left" w:pos="639" w:leader="none"/>
        </w:tabs>
        <w:bidi w:val="0"/>
        <w:spacing w:lineRule="auto" w:line="189" w:before="0" w:after="0"/>
        <w:ind w:left="0" w:right="0" w:firstLine="240"/>
        <w:jc w:val="left"/>
        <w:rPr/>
      </w:pPr>
      <w:r>
        <w:rPr>
          <w:color w:val="000000"/>
          <w:spacing w:val="0"/>
          <w:w w:val="100"/>
          <w:shd w:fill="auto" w:val="clear"/>
          <w:lang w:val="en-US" w:eastAsia="en-US" w:bidi="en-US"/>
        </w:rPr>
        <w:t>Rawls, „Gerechtigkeit als Fairness“, S. 493.</w:t>
      </w:r>
    </w:p>
    <w:p>
      <w:pPr>
        <w:pStyle w:val="Flietext21"/>
        <w:keepNext w:val="false"/>
        <w:keepLines w:val="false"/>
        <w:widowControl w:val="false"/>
        <w:numPr>
          <w:ilvl w:val="0"/>
          <w:numId w:val="33"/>
        </w:numPr>
        <w:shd w:val="clear" w:color="auto" w:fill="auto"/>
        <w:tabs>
          <w:tab w:val="clear" w:pos="720"/>
          <w:tab w:val="left" w:pos="639" w:leader="none"/>
        </w:tabs>
        <w:bidi w:val="0"/>
        <w:spacing w:lineRule="auto" w:line="189" w:before="0" w:after="0"/>
        <w:ind w:left="0" w:right="0" w:firstLine="240"/>
        <w:jc w:val="left"/>
        <w:rPr/>
      </w:pPr>
      <w:r>
        <w:rPr>
          <w:i/>
          <w:iCs/>
          <w:color w:val="000000"/>
          <w:spacing w:val="0"/>
          <w:w w:val="100"/>
          <w:shd w:fill="auto" w:val="clear"/>
          <w:lang w:val="en-US" w:eastAsia="en-US" w:bidi="en-US"/>
        </w:rPr>
        <w:t>Charles Beard, Eine ökonomische Interpretation der Verfassung der Vereinigten Staaten.</w:t>
      </w:r>
    </w:p>
    <w:p>
      <w:pPr>
        <w:pStyle w:val="Flietext21"/>
        <w:keepNext w:val="false"/>
        <w:keepLines w:val="false"/>
        <w:widowControl w:val="false"/>
        <w:numPr>
          <w:ilvl w:val="0"/>
          <w:numId w:val="33"/>
        </w:numPr>
        <w:shd w:val="clear" w:color="auto" w:fill="auto"/>
        <w:tabs>
          <w:tab w:val="clear" w:pos="720"/>
          <w:tab w:val="left" w:pos="625" w:leader="none"/>
        </w:tabs>
        <w:bidi w:val="0"/>
        <w:spacing w:lineRule="auto" w:line="220" w:before="0" w:after="200"/>
        <w:ind w:left="0" w:right="0" w:firstLine="260"/>
        <w:jc w:val="both"/>
        <w:rPr/>
      </w:pPr>
      <w:r>
        <w:rPr>
          <w:color w:val="000000"/>
          <w:spacing w:val="0"/>
          <w:w w:val="100"/>
          <w:shd w:fill="auto" w:val="clear"/>
          <w:lang w:val="en-US" w:eastAsia="en-US" w:bidi="en-US"/>
        </w:rPr>
        <w:t>John Rawls, „Gesetzliche Verpflichtung und die Pflicht zum Fairplay“, in Law and Philosophy: A Symposium, hrsg. von Sidney Hook (New York University Press, 1964); und in Rawls, „Die Rechtfertigung zivilen Ungehorsams“, passim.</w:t>
      </w:r>
    </w:p>
    <w:p>
      <w:pPr>
        <w:pStyle w:val="Flietext1"/>
        <w:keepNext w:val="false"/>
        <w:keepLines w:val="false"/>
        <w:widowControl w:val="false"/>
        <w:shd w:val="clear" w:color="auto" w:fill="auto"/>
        <w:bidi w:val="0"/>
        <w:spacing w:before="0" w:after="200"/>
        <w:ind w:left="0" w:right="0" w:firstLine="260"/>
        <w:jc w:val="both"/>
        <w:rPr/>
      </w:pPr>
      <w:r>
        <w:rPr>
          <w:color w:val="000000"/>
          <w:spacing w:val="0"/>
          <w:w w:val="100"/>
          <w:shd w:fill="auto" w:val="clear"/>
          <w:lang w:val="en-US" w:eastAsia="en-US" w:bidi="en-US"/>
        </w:rPr>
        <w:t>Zweitens ist der Vertrag willkürlich. Dieser Faktor ist von zentraler Bedeutung und bedarf der Klärung. Die Verträge von Hobbes und Locke (um diejenigen zu verwenden, denen die ursprünglich individualistische Parallele am nächsten ist) sind keineswegs willkürlich; sie sind nicht willkürlich gewählt, sondern rational erfasst. In der Tat gibt es bei der Vertragsannahme überhaupt keine Wahl – die anfängliche „Wahl“ muss rational sein, und alles andere folgt mehr oder weniger automatisch daraus. (Aus diesem Grund ist die Annexion von Hobbes an die Naturrechtstheorie trotz all der Gewalt, die er dieser Tradition angetan hat, nicht ohne ein Körnchen Gerechtigkeit.) Das Modell ist immer geometrisch – angesichts der Prämissen muss die Schlussfolgerung (nicht nur „ kann“) folgen, und dieser Abschluss ist der Vertrag. Aber das ist nicht der Argumentationsstil von Rawls. Die vermeintlichen Einzelmitglieder des ursprünglichen Vertrags wählten willkürlich aus einer Reihe möglicher Alternativen und kamen zu einer konkreten Definition von Gerechtigkeit. Zwar ist die Bandbreite der Auswahl nicht unendlich – formale, aber nicht unbedeutende Parameter werden um das Feld der Auswahl gelegt –, aber die Wahl einer bestimmten Definition von Gerechtigkeit ist keine Angelegenheit, die durch die Operation der Vernunft eindeutig gelöst werden kann allein. Für Hobbes, Locke und Rawls wird davon ausgegangen, dass die Individuen rational sind.408 Aber für Hobbes und Locke bestimmt diese Rationalität nicht nur die Tatsache, dass das Individuum den Vertrag eingehen muss, sondern auch die genauen Vertragsbedingungen. Für Rawls ist Vernunft eine Voraussetzung, aber eine, die die Wahl nicht eindeutig und unzweideutig bestimmt, und die anfänglichen Bedingungen des ursprünglichen Vertrags sind willkürlich und freiwillig; die Grenzen dieser Wahl werden nicht durch die Natur der Vernunft, sondern durch die Natur der Gerechtigkeit gesetzt.</w:t>
      </w:r>
    </w:p>
    <w:p>
      <w:pPr>
        <w:pStyle w:val="Flietext21"/>
        <w:keepNext w:val="false"/>
        <w:keepLines w:val="false"/>
        <w:widowControl w:val="false"/>
        <w:shd w:val="clear" w:color="auto" w:fill="auto"/>
        <w:bidi w:val="0"/>
        <w:spacing w:lineRule="auto" w:line="213" w:before="0" w:after="200"/>
        <w:ind w:left="0" w:right="0" w:firstLine="280"/>
        <w:jc w:val="both"/>
        <w:rPr/>
      </w:pPr>
      <w:r>
        <w:rPr>
          <w:color w:val="000000"/>
          <w:spacing w:val="0"/>
          <w:w w:val="100"/>
          <w:shd w:fill="auto" w:val="clear"/>
          <w:lang w:val="en-US" w:eastAsia="en-US" w:bidi="en-US"/>
        </w:rPr>
        <w:t>1 Oder sozusagen wiederhergestellt – diesem Aspekt von Rawls’ Argumentation wird an späterer Stelle noch mehr Rechnung getragen.</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Drittens sind die Verträge von Hobbes und Locke pseudohistorisch; das von Rawls ist quasi-historisch. Für Hobbes und Locke ist die Geschichte absolut irrelevant (und wir haben Locke bereits wegen seines logischen Fehlers, etwas anderes vorzutäuschen oder anzunehmen, gegeißelt). Der Vertrag bindet aufgrund seines rationalen Status; ob es jemals als formaler Akt stattgefunden hat, ist nebensächlich, da es eine logische Zwangsentscheidung für jeden Menschen ist, sofern er ein vernünftiges Wesen ist. Aber Rawls hat sich dieser Option entzogen – seine anfänglichen Begriffe (also die besondere Definition von Gerechtigkeit) sind nicht rational bestimmt, sondern willkürlich. Daher kann er den Zweifelnden nicht einfach auf seine eigene Vernunft verweisen – diese Vernunft wird verschiedene Vorschläge als gleichermaßen haltbar akzeptieren und kann gerade deshalb niemandem einen Vorrang einräumen. Die Auswahl unter den Alternativen war (und das Wort wird bis zum Erbrechen wiederholt, weil es entscheidend ist) willkürlich. Rawls' Vertrag kann nicht das sein, was diese These argumentiert, muss die zugeschriebene Vertragstheorie gewesen sein, die die implizite Realität des historischen Kontraktualismus war.</w:t>
      </w:r>
    </w:p>
    <w:p>
      <w:pPr>
        <w:pStyle w:val="Flietext1"/>
        <w:keepNext w:val="false"/>
        <w:keepLines w:val="false"/>
        <w:widowControl w:val="false"/>
        <w:shd w:val="clear" w:color="auto" w:fill="auto"/>
        <w:bidi w:val="0"/>
        <w:spacing w:before="0" w:after="280"/>
        <w:ind w:left="0" w:right="0" w:firstLine="280"/>
        <w:jc w:val="both"/>
        <w:rPr/>
      </w:pPr>
      <w:r>
        <w:rPr>
          <w:color w:val="000000"/>
          <w:spacing w:val="0"/>
          <w:w w:val="100"/>
          <w:shd w:fill="auto" w:val="clear"/>
          <w:lang w:val="en-US" w:eastAsia="en-US" w:bidi="en-US"/>
        </w:rPr>
        <w:t>Wie nutzt Rawls dann die Geschichte? Für Hobbes und Locke verdeckt die pseudohistorische Darstellung einen logischen Kern, der im Wesentlichen ahistorisch ist, wie Hobbes selbst versucht hat, explizit zu machen.409 Für den unterstellten Vertrag ist die historische Existenz einer tatsächlichen expliziten Zustimmung irrelevant, weil die Zustimmung spontan und augenblicklich ist mit dem Verständnis des Problems. Für Rawls bleibt diese Zustimmung optional; es könnte einer Reihe alternativer Definitionen von Gerechtigkeit ohne notwendige logische Fehler gegeben werden.</w:t>
      </w:r>
    </w:p>
    <w:p>
      <w:pPr>
        <w:pStyle w:val="Flietext21"/>
        <w:keepNext w:val="false"/>
        <w:keepLines w:val="false"/>
        <w:widowControl w:val="false"/>
        <w:numPr>
          <w:ilvl w:val="0"/>
          <w:numId w:val="34"/>
        </w:numPr>
        <w:shd w:val="clear" w:color="auto" w:fill="auto"/>
        <w:tabs>
          <w:tab w:val="clear" w:pos="720"/>
          <w:tab w:val="left" w:pos="625" w:leader="none"/>
        </w:tabs>
        <w:bidi w:val="0"/>
        <w:spacing w:lineRule="auto" w:line="213" w:before="0" w:after="0"/>
        <w:ind w:left="0" w:right="0" w:firstLine="280"/>
        <w:jc w:val="both"/>
        <w:rPr/>
      </w:pPr>
      <w:r>
        <w:rPr>
          <w:color w:val="000000"/>
          <w:spacing w:val="0"/>
          <w:w w:val="100"/>
          <w:shd w:fill="auto" w:val="clear"/>
          <w:lang w:val="en-US" w:eastAsia="en-US" w:bidi="en-US"/>
        </w:rPr>
        <w:t>Für Locke und Rawls sind sie offenbar auch moralisch; für Hobbes ist dies bedeutungslos, aber das Merkwürdige ist, wie wenig sich das auf das Gerät auswirkt.</w:t>
      </w:r>
    </w:p>
    <w:p>
      <w:pPr>
        <w:pStyle w:val="Flietext21"/>
        <w:keepNext w:val="false"/>
        <w:keepLines w:val="false"/>
        <w:widowControl w:val="false"/>
        <w:numPr>
          <w:ilvl w:val="0"/>
          <w:numId w:val="34"/>
        </w:numPr>
        <w:shd w:val="clear" w:color="auto" w:fill="auto"/>
        <w:tabs>
          <w:tab w:val="clear" w:pos="720"/>
          <w:tab w:val="left" w:pos="639" w:leader="none"/>
        </w:tabs>
        <w:bidi w:val="0"/>
        <w:spacing w:lineRule="auto" w:line="189" w:before="0" w:after="200"/>
        <w:ind w:left="0" w:right="0" w:firstLine="240"/>
        <w:jc w:val="left"/>
        <w:rPr/>
      </w:pPr>
      <w:r>
        <w:rPr>
          <w:color w:val="000000"/>
          <w:spacing w:val="0"/>
          <w:w w:val="100"/>
          <w:shd w:fill="auto" w:val="clear"/>
          <w:lang w:val="en-US" w:eastAsia="en-US" w:bidi="en-US"/>
        </w:rPr>
        <w:t>Siehe z.B. Hobbes, Leviathan, Teil II, Kap. 26.</w:t>
      </w:r>
    </w:p>
    <w:p>
      <w:pPr>
        <w:pStyle w:val="Flietext1"/>
        <w:keepNext w:val="false"/>
        <w:keepLines w:val="false"/>
        <w:widowControl w:val="false"/>
        <w:shd w:val="clear" w:color="auto" w:fill="auto"/>
        <w:bidi w:val="0"/>
        <w:spacing w:before="0" w:after="260"/>
        <w:ind w:left="0" w:right="0" w:firstLine="280"/>
        <w:jc w:val="both"/>
        <w:rPr/>
      </w:pPr>
      <w:r>
        <w:rPr>
          <w:color w:val="000000"/>
          <w:spacing w:val="0"/>
          <w:w w:val="100"/>
          <w:shd w:fill="auto" w:val="clear"/>
          <w:lang w:val="en-US" w:eastAsia="en-US" w:bidi="en-US"/>
        </w:rPr>
        <w:t>Dies bedarf einiger Aufklärung. Es ist das Verdienst von Rawls' Herangehensweise an Verträge, so wird uns gesagt, dass er „versucht, die Künstlichkeit zu vermeiden, einen primitiven Zustand anzunehmen, in dem Männer gleich sind“, sondern „behauptet, die typischen Umstände der Gerechtigkeit zu berücksichtigen, nicht einige künstliche Konstruktion.“410 Rawls „hat versucht, das klassische Argument zu formulieren und gleichzeitig die Schwierigkeit der anfänglichen Hypothese eines Naturzustands zu beseitigen“,411 (obwohl Charvet weiter hinzufügt, dass die Schleier-der-Ignoranz-Hypothese auf kaum mehr hinausläuft als eine Wiedereinführung des Naturzustands „durch die Hintertür“).412 Der Rawls'sche Vertrag ist keine Geschichtstheorie, sondern ein logischer Apparat. Wir stellen uns Individuen vor, die in einem funktionierenden System arbeiten und mit einer Beschwerde konfrontiert werden, die Ungerechtigkeit behauptet; sie kehren dann in die „vor“vertragliche Situation zurück, aus der sie einen Rechtsbegriff und eine Verfassung entwickeln müssen, und für Menschen in einer solchen Situation soll der Schleier des Nichtwissens gelten. (Inwiefern dies weniger „künstlich“ ist als die Hypothese des Naturzustands, ist mir nicht ganz klar.) Es ist natürlich implizit, dass dieser Prozess das gleiche Verfassungssystem hervorbringen wird, in dem sich die Menschen befinden oder zumindest ergeben werden so ziemlich oft innerhalb konstitutioneller Regime; und es scheint aus der Art und Weise, wie Rawls dies darstellt, offensichtlich zu sein, dass er sich nicht auf die Operation der Sozialisation verlässt, um ein solches Ergebnis zu garantieren. Man wendet diese Variante der auflösungskompositiven Methode nicht an, um mit Werten aufzutauchen, die den Agenten durch das System, das sie gerade testen, eingeprägt wurden – was auch immer man über Rawls' Behandlung des Naturzustands sagen mag, er hypothetisiert immer noch das Nicht -sozialisiertes Individuum. In Grenzen und mit einem noch zu erörternden Vorbehalt handelt es sich um einen rein rationalen, von historischen Zufälligkeiten abgeschotteten Vorgang.</w:t>
      </w:r>
    </w:p>
    <w:p>
      <w:pPr>
        <w:pStyle w:val="Flietext21"/>
        <w:keepNext w:val="false"/>
        <w:keepLines w:val="false"/>
        <w:widowControl w:val="false"/>
        <w:numPr>
          <w:ilvl w:val="0"/>
          <w:numId w:val="34"/>
        </w:numPr>
        <w:shd w:val="clear" w:color="auto" w:fill="auto"/>
        <w:tabs>
          <w:tab w:val="clear" w:pos="720"/>
          <w:tab w:val="left" w:pos="639" w:leader="none"/>
        </w:tabs>
        <w:bidi w:val="0"/>
        <w:spacing w:lineRule="auto" w:line="189" w:before="0" w:after="0"/>
        <w:ind w:left="0" w:right="0" w:firstLine="240"/>
        <w:jc w:val="left"/>
        <w:rPr/>
      </w:pPr>
      <w:r>
        <w:rPr>
          <w:color w:val="000000"/>
          <w:spacing w:val="0"/>
          <w:w w:val="100"/>
          <w:shd w:fill="auto" w:val="clear"/>
          <w:lang w:val="en-US" w:eastAsia="en-US" w:bidi="en-US"/>
        </w:rPr>
        <w:t>Pollock, „Ein Dilemma für Rawls?“ P. 42.</w:t>
      </w:r>
    </w:p>
    <w:p>
      <w:pPr>
        <w:pStyle w:val="Flietext21"/>
        <w:keepNext w:val="false"/>
        <w:keepLines w:val="false"/>
        <w:widowControl w:val="false"/>
        <w:numPr>
          <w:ilvl w:val="0"/>
          <w:numId w:val="34"/>
        </w:numPr>
        <w:shd w:val="clear" w:color="auto" w:fill="auto"/>
        <w:tabs>
          <w:tab w:val="clear" w:pos="720"/>
          <w:tab w:val="left" w:pos="625" w:leader="none"/>
        </w:tabs>
        <w:bidi w:val="0"/>
        <w:spacing w:lineRule="auto" w:line="220" w:before="0" w:after="0"/>
        <w:ind w:left="0" w:right="0" w:firstLine="280"/>
        <w:jc w:val="both"/>
        <w:rPr/>
      </w:pPr>
      <w:r>
        <w:rPr>
          <w:color w:val="000000"/>
          <w:spacing w:val="0"/>
          <w:w w:val="100"/>
          <w:shd w:fill="auto" w:val="clear"/>
          <w:lang w:val="en-US" w:eastAsia="en-US" w:bidi="en-US"/>
        </w:rPr>
        <w:t>John Charvet, „The Idea of ​​Equality as a Substantive Principle of Society“, in Contemporary Political Theory, hrsg. von Anthony de Crespigny und Alan Wertheimer (New York: Atherton Press, 1970), p. 156.</w:t>
      </w:r>
    </w:p>
    <w:p>
      <w:pPr>
        <w:pStyle w:val="Flietext21"/>
        <w:keepNext w:val="false"/>
        <w:keepLines w:val="false"/>
        <w:widowControl w:val="false"/>
        <w:numPr>
          <w:ilvl w:val="0"/>
          <w:numId w:val="34"/>
        </w:numPr>
        <w:shd w:val="clear" w:color="auto" w:fill="auto"/>
        <w:tabs>
          <w:tab w:val="clear" w:pos="720"/>
          <w:tab w:val="left" w:pos="639" w:leader="none"/>
        </w:tabs>
        <w:bidi w:val="0"/>
        <w:spacing w:lineRule="auto" w:line="189" w:before="0" w:after="200"/>
        <w:ind w:left="0" w:right="0" w:firstLine="240"/>
        <w:jc w:val="left"/>
        <w:rPr/>
      </w:pPr>
      <w:r>
        <w:rPr>
          <w:color w:val="000000"/>
          <w:spacing w:val="0"/>
          <w:w w:val="100"/>
          <w:shd w:fill="auto" w:val="clear"/>
          <w:lang w:val="en-US" w:eastAsia="en-US" w:bidi="en-US"/>
        </w:rPr>
        <w:t>Ebd., p. 159.</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Aber das ist nicht die ganze Geschichte. Wir können einige quasi-zeitliche Vorschläge – zum Beispiel die Stadien des Vertrags413 – als Teil der Metapher übergehen. Nicht so einfach aufzulösen ist die Grundannahme, dass die Bindung an einen einmal getroffenen Gerechtigkeitsbegriff für die Zukunft bindend ist. Wenn es ein „Jetzt“ gibt, das ein Individuum an die Annahme eines normativen Standpunkts in der Zukunft bindet, gibt es offensichtlich ein anderes „Jetzt“, in dem sich dieses Individuum an eine zuvor eingegangene normative Verpflichtung gebunden sieht. Dieses zweite „Jetzt“ ist eine Situation, in der eine Person an eine frühere, nicht an eine gegenwärtige Zustimmung gebunden ist. Dieses zweite „Jetzt“ ist ein aus einem quasi-historischen Vertrag abgeleiteter Verpflichtungsfall.</w:t>
      </w:r>
    </w:p>
    <w:p>
      <w:pPr>
        <w:pStyle w:val="Flietext1"/>
        <w:keepNext w:val="false"/>
        <w:keepLines w:val="false"/>
        <w:widowControl w:val="false"/>
        <w:shd w:val="clear" w:color="auto" w:fill="auto"/>
        <w:bidi w:val="0"/>
        <w:spacing w:before="0" w:after="220"/>
        <w:ind w:left="0" w:right="0" w:firstLine="280"/>
        <w:jc w:val="both"/>
        <w:rPr/>
      </w:pPr>
      <w:r>
        <w:rPr>
          <w:color w:val="000000"/>
          <w:spacing w:val="0"/>
          <w:w w:val="100"/>
          <w:shd w:fill="auto" w:val="clear"/>
          <w:lang w:val="en-US" w:eastAsia="en-US" w:bidi="en-US"/>
        </w:rPr>
        <w:t>Es wird offensichtlich, dass die Behauptung von Wolff-O'Connor, dass Rawls' Gerechtigkeitsprinzipien im Wesentlichen formal und negativ sind, einen Haken hat – dass sie eine bestimmte Gesellschaftsform nicht als allein gerecht festschreiben und können, aber können nur eine Zahl als ungerecht eliminieren und damit eine endliche Anzahl nicht ungerechter Alternativen zur willkürlichen Wahl offen lassen.</w:t>
      </w:r>
    </w:p>
    <w:p>
      <w:pPr>
        <w:pStyle w:val="Flietext1"/>
        <w:keepNext w:val="false"/>
        <w:keepLines w:val="false"/>
        <w:widowControl w:val="false"/>
        <w:shd w:val="clear" w:color="auto" w:fill="auto"/>
        <w:bidi w:val="0"/>
        <w:spacing w:before="0" w:after="260"/>
        <w:ind w:left="0" w:right="0" w:hanging="0"/>
        <w:jc w:val="both"/>
        <w:rPr/>
      </w:pPr>
      <w:r>
        <w:rPr>
          <w:color w:val="000000"/>
          <w:spacing w:val="0"/>
          <w:w w:val="100"/>
          <w:shd w:fill="auto" w:val="clear"/>
          <w:lang w:val="en-US" w:eastAsia="en-US" w:bidi="en-US"/>
        </w:rPr>
        <w:t>Eine solche Wahl muss willkürlich sein, weil die Gerechtigkeitsprinzipien, die diesen Gerechtigkeitskonzepten die Grenzen setzen, nicht die Grundlage für eine Wahl zwischen den Gerechtigkeitskonzepten bilden können, die innerhalb der Grenzen liegen. Wenn die Anwendung dieser Grundsätze eine Gesellschaftsform anzeigt (wenn beispielsweise eine Sklavenhaltergesellschaft untersucht und festgestellt wird, dass sie gegen IIb verstößt), kann die Verpflichtung aus Gründen der Gerechtigkeit verweigert werden. Wenn die Anwendung dieser Kriterien die Gesellschaft nicht anklagt, dann ist man verpflichtet. Da diese Kriterien jedoch negativ und nicht maßgebend sind, ist es durchaus möglich, dass der einzelne zwar einräumt, dass die Gesellschaft zwar nach formalen Kriterien nicht ungerecht ist, aber dennoch nicht seiner Vorstellung von Gerechtigkeit entspricht. In einem solchen Fall haben wir es mit einer Auswahl unter der endlichen Anzahl von Optionen zu tun, die größer sind als eine, die die Rawls-Bedingungen414 erfüllen – sagen wir, das Partizipationskriterium einer lebensfähigen demokratischen Politik im Gegensatz zum Grundprinzip einer konkurrierenden Meritokratie. Wenn beide unter die Prinzipien der Gerechtigkeit fallen, dann kann man die Wahl des einen gegenüber dem anderen nicht verteidigen, indem man nur die Prinzipien der Gerechtigkeit anwendet; Natürlich würde Rawls diese Art von Einwand nicht zulassen.</w:t>
      </w:r>
    </w:p>
    <w:p>
      <w:pPr>
        <w:pStyle w:val="Flietext21"/>
        <w:keepNext w:val="false"/>
        <w:keepLines w:val="false"/>
        <w:widowControl w:val="false"/>
        <w:numPr>
          <w:ilvl w:val="0"/>
          <w:numId w:val="35"/>
        </w:numPr>
        <w:shd w:val="clear" w:color="auto" w:fill="auto"/>
        <w:tabs>
          <w:tab w:val="clear" w:pos="720"/>
          <w:tab w:val="left" w:pos="639" w:leader="none"/>
        </w:tabs>
        <w:bidi w:val="0"/>
        <w:spacing w:lineRule="auto" w:line="240" w:before="0" w:after="200"/>
        <w:ind w:left="0" w:right="0" w:firstLine="240"/>
        <w:jc w:val="left"/>
        <w:rPr/>
      </w:pPr>
      <w:r>
        <w:rPr>
          <w:color w:val="000000"/>
          <w:spacing w:val="0"/>
          <w:w w:val="100"/>
          <w:shd w:fill="auto" w:val="clear"/>
          <w:lang w:val="en-US" w:eastAsia="en-US" w:bidi="en-US"/>
        </w:rPr>
        <w:t>Siehe z.B. Rawls, „Die Rechtfertigung des zivilen Ungehorsams“, S. 346.</w:t>
      </w:r>
    </w:p>
    <w:p>
      <w:pPr>
        <w:pStyle w:val="Flietext1"/>
        <w:keepNext w:val="false"/>
        <w:keepLines w:val="false"/>
        <w:widowControl w:val="false"/>
        <w:shd w:val="clear" w:color="auto" w:fill="auto"/>
        <w:bidi w:val="0"/>
        <w:spacing w:before="0" w:after="0"/>
        <w:ind w:left="0" w:right="0" w:firstLine="300"/>
        <w:jc w:val="both"/>
        <w:rPr/>
      </w:pPr>
      <w:r>
        <w:rPr>
          <w:color w:val="000000"/>
          <w:spacing w:val="0"/>
          <w:w w:val="100"/>
          <w:shd w:fill="auto" w:val="clear"/>
          <w:lang w:val="en-US" w:eastAsia="en-US" w:bidi="en-US"/>
        </w:rPr>
        <w:t>Die Vertragstheorie hier ist halb so wie der unterstellte Vertrag – jeder Einzelne kann die Gesellschaft, der er angehört, jederzeit kritisch darauf untersuchen, ob sie nach ahistorischen Maßstäben ungerecht ist, und wenn dies der Fall ist, kann er jede Verpflichtung ihr gegenüber aufgeben . Bleibt ihm jedoch ein tatsächliches Grundunrecht schuldig, so ist dieser Einzelne verpflichtet, auch wenn er mit dem in der Verfassung der Gesellschaft formulierten und konkretisierten Rechtsbegriff nicht punktuell einverstanden ist. Der Vertrag à la Rawls kann niemanden zu materiellem institutionellem Grundunrecht verpflichten – insofern ist der Vertrag unbefristet und die Zustimmung spontan und kontinuierlich. Im Bereich der „nicht ungerechten“ Entscheidungen kann jedoch das Festhalten an der einen statt an der anderen die Verpflichtung nicht beeinträchtigen – insofern ist ein Individuum an einen quasi-historischen Vertrag gebunden, der sich in der Gesellschaft und Verfassung, in der es sich befindet, konkretisiert selbst, und die Grundlage dieser Bindung ist ein Konsens, der nicht im Detail normativem Konsens bedarf.</w:t>
      </w:r>
    </w:p>
    <w:p>
      <w:pPr>
        <w:pStyle w:val="Flietext1"/>
        <w:keepNext w:val="false"/>
        <w:keepLines w:val="false"/>
        <w:widowControl w:val="false"/>
        <w:shd w:val="clear" w:color="auto" w:fill="auto"/>
        <w:bidi w:val="0"/>
        <w:spacing w:before="0" w:after="280"/>
        <w:ind w:left="0" w:right="0" w:firstLine="300"/>
        <w:jc w:val="both"/>
        <w:rPr/>
      </w:pPr>
      <w:r>
        <w:rPr>
          <w:color w:val="000000"/>
          <w:spacing w:val="0"/>
          <w:w w:val="100"/>
          <w:shd w:fill="auto" w:val="clear"/>
          <w:lang w:val="en-US" w:eastAsia="en-US" w:bidi="en-US"/>
        </w:rPr>
        <w:t>Wenn er einen quasi-historischen Mehrwortvertrag beschreibt, muss sein Vorschlag in gewisser Weise wörtlich genommen werden. Erstens wurde/wird eine tatsächliche Auswahl zwischen gleichermaßen haltbaren und gültigen Definitionen oder Vorstellungen von Gerechtigkeit getroffen. Zweitens wurde eine Verfassung gewählt, die auf dieser Definition basiert – aber wohl nur „auf“ und streng „abgeleitet“ von dieser Definition, in diesem Fall gibt es eine weitere willkürliche Wahl unter gleichermaßen vertretbaren und legitimen Optionen. Drittens gibt es eine laufende Entscheidungsfindung im Sinne dieser Verfassung, die darauf abzielt, die so definierte Gerechtigkeit zu verwirklichen. Für Rawls sind diese in absteigender Reihenfolge ihrer Bedeutung. Am verbindlichsten ist die anfängliche Rechtsfindung, dicht gefolgt von der Verfassungsfrage; die Gesetze sind viel weniger wichtig, und das Problem, für das er sich speziell entschieden hat, ist, wie wir aus Gründen der Gerechtigkeit verpflichtet sein können, Gesetzen zu gehorchen, die selbst ungerecht sind.415 Die Lösung besteht darin, die Verpflichtung auf einem früheren Schritt zu begründen ( die Feststellung von Gerechtigkeit oder das Bekenntnis zur Verfassung) und ein gewisses Auseinanderklaffen zwischen dem Ideal und der Verwirklichung des Ideals in tatsächlichen konkreten Entscheidungen zuzulassen.</w:t>
      </w:r>
    </w:p>
    <w:p>
      <w:pPr>
        <w:pStyle w:val="Flietext21"/>
        <w:keepNext w:val="false"/>
        <w:keepLines w:val="false"/>
        <w:widowControl w:val="false"/>
        <w:numPr>
          <w:ilvl w:val="0"/>
          <w:numId w:val="35"/>
        </w:numPr>
        <w:shd w:val="clear" w:color="auto" w:fill="auto"/>
        <w:tabs>
          <w:tab w:val="clear" w:pos="720"/>
          <w:tab w:val="left" w:pos="1192" w:leader="none"/>
          <w:tab w:val="left" w:pos="5325" w:leader="none"/>
        </w:tabs>
        <w:bidi w:val="0"/>
        <w:spacing w:lineRule="auto" w:line="276" w:before="0" w:after="0"/>
        <w:ind w:left="2120" w:right="0" w:hanging="1840"/>
        <w:jc w:val="both"/>
        <w:rPr>
          <w:sz w:val="13"/>
          <w:szCs w:val="13"/>
        </w:rPr>
      </w:pPr>
      <w:r>
        <w:rPr>
          <w:rFonts w:eastAsia="Courier New" w:cs="Courier New" w:ascii="Courier New" w:hAnsi="Courier New"/>
          <w:b/>
          <w:bCs/>
          <w:color w:val="4D4D4D"/>
          <w:spacing w:val="0"/>
          <w:w w:val="100"/>
          <w:sz w:val="13"/>
          <w:szCs w:val="13"/>
          <w:shd w:fill="auto" w:val="clear"/>
          <w:lang w:val="en-US" w:eastAsia="en-US" w:bidi="en-US"/>
        </w:rPr>
        <w:t>Schematisch könnten wir dies wie folgt darstellen: (Begriff von juetice)i d e f g h</w:t>
      </w:r>
    </w:p>
    <w:p>
      <w:pPr>
        <w:pStyle w:val="Flietext61"/>
        <w:keepNext w:val="false"/>
        <w:keepLines w:val="false"/>
        <w:widowControl w:val="false"/>
        <w:shd w:val="clear" w:color="auto" w:fill="auto"/>
        <w:tabs>
          <w:tab w:val="clear" w:pos="720"/>
          <w:tab w:val="left" w:pos="1982" w:leader="none"/>
        </w:tabs>
        <w:bidi w:val="0"/>
        <w:spacing w:before="0" w:after="280"/>
        <w:ind w:left="0" w:right="0" w:hanging="0"/>
        <w:jc w:val="center"/>
        <w:rPr/>
      </w:pPr>
      <w:r>
        <w:rPr>
          <w:spacing w:val="0"/>
          <w:w w:val="100"/>
          <w:shd w:fill="auto" w:val="clear"/>
          <w:lang w:val="en-US" w:eastAsia="en-US" w:bidi="en-US"/>
        </w:rPr>
        <w:t>(conetzi'tut-ion) t</w:t>
        <w:tab/>
        <w:t>ABC(DEFGH)IJKL</w:t>
      </w:r>
    </w:p>
    <w:p>
      <w:pPr>
        <w:pStyle w:val="Flietext21"/>
        <w:keepNext w:val="false"/>
        <w:keepLines w:val="false"/>
        <w:widowControl w:val="false"/>
        <w:shd w:val="clear" w:color="auto" w:fill="auto"/>
        <w:bidi w:val="0"/>
        <w:spacing w:lineRule="auto" w:line="240" w:before="0" w:after="200"/>
        <w:ind w:left="0" w:right="0" w:hanging="0"/>
        <w:jc w:val="both"/>
        <w:rPr/>
      </w:pPr>
      <w:r>
        <w:rPr>
          <w:color w:val="000000"/>
          <w:spacing w:val="0"/>
          <w:w w:val="100"/>
          <w:shd w:fill="auto" w:val="clear"/>
          <w:lang w:val="en-US" w:eastAsia="en-US" w:bidi="en-US"/>
        </w:rPr>
        <w:t>Wenn ich als Individuum die in Verfassung „E“ optimal konkretisierte Gerechtigkeitsvorstellung „e“ akzeptiere, habe ich damit eine Grundlage, Verfassung C abzulehnen, die auf Maßstäben beruht, die den formalen Gerechtigkeitsprinzipien nicht genügen; sie gibt mir jedoch keinen Anlass, die Verfassung „H“ abzulehnen, die den Gerechtigkeitsbegriff „h“ optimal konkretisiert.</w:t>
      </w:r>
    </w:p>
    <w:p>
      <w:pPr>
        <w:pStyle w:val="Flietext1"/>
        <w:keepNext w:val="false"/>
        <w:keepLines w:val="false"/>
        <w:widowControl w:val="false"/>
        <w:shd w:val="clear" w:color="auto" w:fill="auto"/>
        <w:bidi w:val="0"/>
        <w:spacing w:before="0" w:after="260"/>
        <w:ind w:left="0" w:right="0" w:firstLine="280"/>
        <w:jc w:val="both"/>
        <w:rPr/>
      </w:pPr>
      <w:r>
        <w:rPr>
          <w:color w:val="000000"/>
          <w:spacing w:val="0"/>
          <w:w w:val="100"/>
          <w:shd w:fill="auto" w:val="clear"/>
          <w:vertAlign w:val="superscript"/>
          <w:lang w:val="en-US" w:eastAsia="en-US" w:bidi="en-US"/>
        </w:rPr>
        <w:t>Es ist wichtig, Rawls auf eigenem Boden zu begegnen und sich nicht mit billigen Punkten zufrieden zu geben. Es ist sinnlos, sich in historische oder anthropologische Spitzfindigkeiten einzulassen oder über die Frage der anfänglichen Einstimmigkeit oder was auch immer zu nörgeln – die Schwierigkeiten, den Vertrag als buchstäbliche Geschichte zu behandeln, sind offensichtlich. Vielmehr müssen wir uns nur mit den philosophischen Implikationen eines Mehrphasenvertrags befassen, bei dem der größte Nachdruck auf den frühen Phasen liegt. Der quasi- (im Gegensatz zum pseudo-) historischen Charakter des Vertrages führt zu Problemen in Bezug auf Angehörige von Generationen nach dem ursprünglichen Vertrag. Rawls befasst sich mit dem typischen Gerechtigkeitsproblem, wie es in einem System fortwährender Beziehungen auftritt, sodass jede Generation in operativer Hinsicht etwas anderes als die Anfangsgeneration ist. Für Hobbes und Locke gibt es wirklich kein Problem, obwohl Locke sich sehr bemüht, eines zu schaffen – der Akt der Zustimmung erfolgt augenblicklich mit dem Verständnis des Problems. Die Vernunft zeigt eine und nur eine Lösung für das Problem, das der Naturzustand oder der natürliche Zustand der Menschheit aufwirft, und diese Lösung ist der Gesellschaftsvertrag. Für alle Menschen, unter allen Umständen und zu jeder Zeit, bedeutet das Erkennen des Problems, die Lösung zu akzeptieren – mit anderen Worten, dem Vertrag zuzustimmen. Dieses rationale Akzeptieren wird metaphorisch mit einem tatsächlichen Akt des Versprechens verglichen, und somit ist die gegenwärtige Generation immer die erste Generation. Aber Rawls kann das nicht. Er kann nicht sagen, dass jedes Mitglied jeder nachfolgenden Generation die identischen Bedingungen für beide Phasen des Vertrags akzeptiert hätte – logischerweise müssen sie ihre Wahl auf diejenigen Alternativen beschränken, die den Prinzipien der Gerechtigkeit genügen, aber darüber hinaus ist ihre Zustimmung optional. Sie könnten die gleichen Begriffe gewählt haben oder auch nicht; Da die Wahl willkürlich war, kann das Argument nicht logisch schlüssig sein. Stattdessen argumentiert er diese fortwährende Verpflichtung nicht im Sinne einer fortwährenden Zustimmung, sondern im Sinne einer Verpflichtung, die durch die Annahme von Vorteilen im Rahmen des durch den Vertrag geschaffenen Systems geschaffen wird. 416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21"/>
        <w:keepNext w:val="false"/>
        <w:keepLines w:val="false"/>
        <w:widowControl w:val="false"/>
        <w:numPr>
          <w:ilvl w:val="0"/>
          <w:numId w:val="35"/>
        </w:numPr>
        <w:shd w:val="clear" w:color="auto" w:fill="auto"/>
        <w:tabs>
          <w:tab w:val="clear" w:pos="720"/>
          <w:tab w:val="left" w:pos="639" w:leader="none"/>
        </w:tabs>
        <w:bidi w:val="0"/>
        <w:spacing w:lineRule="auto" w:line="240" w:before="0" w:after="200"/>
        <w:ind w:left="0" w:right="0" w:firstLine="240"/>
        <w:jc w:val="left"/>
        <w:rPr/>
      </w:pPr>
      <w:r>
        <w:rPr>
          <w:color w:val="000000"/>
          <w:spacing w:val="0"/>
          <w:w w:val="100"/>
          <w:shd w:fill="auto" w:val="clear"/>
          <w:lang w:val="en-US" w:eastAsia="en-US" w:bidi="en-US"/>
        </w:rPr>
        <w:t>Rawls, „Die Rechtfertigung des zivilen Ungehorsams“, S. 345.</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Dieser Wechsel ist sehr wichtig. Es gibt für Rawls zwei verschiedene Arten von Gesellschaftssystemen: Das erste, das auf Konzeptionen basiert, die den formalen Prinzipien der Gerechtigkeit nicht genügen, wird von der Hand gewiesen; die zweite, die auf Konzeptionen beruht, die diesen Prinzipien genügen, wird argumentativ fortgeführt, aber die eigentliche Verpflichtung innerhalb eines solchen Systems beruht nicht direkt auf den Prinzipien der Gerechtigkeit, sondern auf der Annahme von Vorteilen. Die Frage, ob ein System so beschaffen ist, dass es jemals einer Verpflichtung würdig sein könnte, wird mit Verweis auf die Gerechtigkeitsprinzipien beantwortet, und wenn das Sozialsystem diesen Test nicht besteht, erscheint die Annahme von Vorteilen irrelevant. Hat ein System die erste Hürde genommen, wird die Frage, ob eine bestimmte Person tatsächlich zur Gehorsamspflicht verpflichtet ist, anhand ihrer Vorteilsannahme beantwortet. Rawls scheint durchaus bewusst zu sein, dass es Einzelne geben kann, die die Verfassungsform lediglich „nicht ungerecht“ finden und aufgrund unterschiedlicher Rechtsgrundauffassungen Vorbehalte gegen das System hegen. Sein Vorgehen besteht darin, die Bedeutung dieser Vorbehalte zu leugnen – ein Urteil „nicht ungerecht“ und die Vorteilsannahme reichen aus, um die Frage zugunsten der Verpflichtung auch für solche Dissidenten zu entscheiden.</w:t>
      </w:r>
    </w:p>
    <w:p>
      <w:pPr>
        <w:pStyle w:val="Flietext1"/>
        <w:keepNext w:val="false"/>
        <w:keepLines w:val="false"/>
        <w:widowControl w:val="false"/>
        <w:shd w:val="clear" w:color="auto" w:fill="auto"/>
        <w:bidi w:val="0"/>
        <w:spacing w:before="0" w:after="260"/>
        <w:ind w:left="0" w:right="0" w:firstLine="280"/>
        <w:jc w:val="both"/>
        <w:rPr/>
      </w:pPr>
      <w:r>
        <w:rPr>
          <w:color w:val="000000"/>
          <w:spacing w:val="0"/>
          <w:w w:val="100"/>
          <w:shd w:fill="auto" w:val="clear"/>
          <w:lang w:val="en-US" w:eastAsia="en-US" w:bidi="en-US"/>
        </w:rPr>
        <w:t>Rawls bezieht sich im Wesentlichen nicht mehr auf die Vorbilder von Hobbes und Locke, sondern auf Sokrates in seinem Krito. Die theoretischen Vorläufer von Rawls' Version des Gesellschaftsvertrags sind nicht englisch, sondern griechisch – Glaukons kompakte Theorie der Gerechtigkeit, Ers Wahl der Lose, Sokrates, der Kriton gegenüber seine Weigerung zu fliehen rechtfertigt. Aber ein solches Argument ist nicht mehr die volle vertragliche Position – Sie sind gebunden, weil Sie zustimmen. Stattdessen ist es ein utilitaristisches Argument, bestenfalls protovertraglich – Sie sind gebunden, weil Sie davon profitiert haben. Wie aus Rosens Erörterung von Krito hervorgeht,417 handelt es sich tatsächlich eher um eine Dankbarkeitsschuld als um einen vollständigen Vertrag, und obwohl die Dankbarkeitsbeziehung eine gewisse tangentiale Verbindung zur Vertragsbeziehung aufweist (vielleicht mehr in der griechischen Gesellschaft als in zeitgenössisches Verständnis) ist es logisch getrennt. In einem Vertrag gibt man Zustimmung und übernimmt aktiv eine Verpflichtung (selbst wenn die Zustimmung bei der tatsächlichen Entwicklung rationaler Fähigkeiten latent vorhanden ist und nicht aktiver sein muss als eine mentale und rein interne Befürchtung, die niemals in einer formellen äußeren Anerkennung endet); In der Dankbarkeitsbeziehung erhält man einen Vorteil, und die Verpflichtung entsteht passiv. Hintergrund der ganzen Diskussion war für Sokrates die griechische Überzeugung, dass zivilisiertes Leben ohne die Polis einfach unmöglich sei; Ohne die Polis konnte er nicht sein, was er war, also war ein Teil dessen, was er der Polis verdankte, das Selbst, das die Frage debattierte. Rawls, der vom liberalen Mythos des autonomen Individuums ausgeht, nähert sich dieser noch nicht einmal ansatzweise der Sozialisation an, und sein Nutzenbegriff steht eher in der englischen utilitaristischen Tradition.</w:t>
      </w:r>
    </w:p>
    <w:p>
      <w:pPr>
        <w:pStyle w:val="Flietext21"/>
        <w:keepNext w:val="false"/>
        <w:keepLines w:val="false"/>
        <w:widowControl w:val="false"/>
        <w:numPr>
          <w:ilvl w:val="0"/>
          <w:numId w:val="35"/>
        </w:numPr>
        <w:shd w:val="clear" w:color="auto" w:fill="auto"/>
        <w:tabs>
          <w:tab w:val="clear" w:pos="720"/>
          <w:tab w:val="left" w:pos="639" w:leader="none"/>
        </w:tabs>
        <w:bidi w:val="0"/>
        <w:spacing w:lineRule="auto" w:line="240" w:before="0" w:after="200"/>
        <w:ind w:left="0" w:right="0" w:firstLine="240"/>
        <w:jc w:val="left"/>
        <w:rPr/>
      </w:pPr>
      <w:r>
        <w:rPr>
          <w:color w:val="000000"/>
          <w:spacing w:val="0"/>
          <w:w w:val="100"/>
          <w:shd w:fill="auto" w:val="clear"/>
          <w:lang w:val="en-US" w:eastAsia="en-US" w:bidi="en-US"/>
        </w:rPr>
        <w:t>Rawls, „Gerechtigkeit als Fairness“, S. 494.</w:t>
      </w:r>
    </w:p>
    <w:p>
      <w:pPr>
        <w:pStyle w:val="Flietext1"/>
        <w:keepNext w:val="false"/>
        <w:keepLines w:val="false"/>
        <w:widowControl w:val="false"/>
        <w:shd w:val="clear" w:color="auto" w:fill="auto"/>
        <w:bidi w:val="0"/>
        <w:spacing w:before="0" w:after="280"/>
        <w:ind w:left="0" w:right="0" w:firstLine="280"/>
        <w:jc w:val="both"/>
        <w:rPr/>
      </w:pPr>
      <w:r>
        <w:rPr>
          <w:color w:val="000000"/>
          <w:spacing w:val="0"/>
          <w:w w:val="100"/>
          <w:shd w:fill="auto" w:val="clear"/>
          <w:lang w:val="en-US" w:eastAsia="en-US" w:bidi="en-US"/>
        </w:rPr>
        <w:t>Wann ist Zustimmung keine Zustimmung? Wenn es stillschweigend ist. Wir haben bereits viel über Lockes Versäumnis gesprochen, angemessen zwischen dem verbindlichen Charakter der direkten und der stillschweigenden Zustimmung zu unterscheiden (obwohl wir ihn sogar noch gründlicher dafür geißelt haben, dass er das Problem überhaupt unnötig aufgeworfen hat). Dasselbe Problem tritt auf, wenn die stillschweigende Zustimmung diejenige ist, die im Dankbarkeitsansatz der Verpflichtung enthalten ist. Es gibt einen Sinn, in dem die stillschweigende Zustimmung eine Zustimmung ist, in der die Dankbarkeitsverpflichtung eine vertragliche ist, aber diese ist stark begrenzt. Die beiden Beziehungen sind nicht identisch, nur ähnlich, und die Unterscheidbarkeit ist ebenso wichtig wie die Ähnlichkeit. Rawls hat den Übergang von der tatsächlichen Zustimmung zur stillschweigenden Zustimmung der Dankbarkeitsbeziehung vollzogen, und dies schränkt das Ausmaß ein, in dem seine Argumentation auf die Auswirkungen von Vertrag und Zustimmung in einem vollständigen oder vollständigen Sinne eingehen kann. Was verloren geht, ist die Unmittelbarkeit und moralische Direktheit einer starken Form der Zustimmung. Rawls räumt einen impliziten Relativismus ein – es gibt eine Reihe unterschiedlicher und gleichermaßen legitimer Gerechtigkeitskonzepte, unter denen eine Wahl getroffen werden muss, und unter diesen ist eine Wahl so gut wie jede andere. Es gibt folglich keine Garantie dafür, dass das bestehende Gesellschaftssystem innerhalb dieses Verfassungsrahmens weiterhin einhellig oder sogar mehrheitlich an der dieser Verfassung zugrunde liegenden besonderen Gerechtigkeitsauffassung festhält, aber die Argumentation ist so strukturiert, dass dies kein Problem darstellt. Die anfängliche Zustimmung gilt einer bestimmten Auffassung von Gerechtigkeit und dann einer Verfassung; dies ist die Grundlage der Verpflichtung für die erste Generation. Die Zustimmung ist direkt, vollständig, wörtlich. Diese unmittelbare Zustimmung zu einer bestimmten Gerechtigkeitsdefinition gilt möglicherweise nicht mehr für alle Angehörigen nachfolgender Generationen, und gerade in einer pluralistischen Gesellschaft ist zu erwarten, dass sie fehlt; aber für diese nachfolgenden Generationen ist diese Art der Zustimmung nicht mehr die Grundlage für eine fortdauernde Verpflichtung. Die direkte Einwilligung weicht mit der Zeit der indirekten Einwilligung, die vertragliche Verpflichtung der Dankbarkeitsverpflichtung. Wichtig ist, dass man nicht direkt dem Gerechtigkeitsbegriff zustimmt, sondern indirekt dem Erhalt von Vorteilen. Dies ist die Veränderung der Gesellschaftsvertragstheorie, die durch eine Rückkehr zum sokratischen Prototyp des Gesellschaftsvertrags aus dem Modell des 17. Jahrhunderts bewirkt wird; das ist die Veränderung, die Rawls Herangehensweise an den Gesellschaftsvertrag bewirkt.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21"/>
        <w:keepNext w:val="false"/>
        <w:keepLines w:val="false"/>
        <w:widowControl w:val="false"/>
        <w:numPr>
          <w:ilvl w:val="0"/>
          <w:numId w:val="35"/>
        </w:numPr>
        <w:shd w:val="clear" w:color="auto" w:fill="auto"/>
        <w:tabs>
          <w:tab w:val="clear" w:pos="720"/>
          <w:tab w:val="left" w:pos="625" w:leader="none"/>
        </w:tabs>
        <w:bidi w:val="0"/>
        <w:spacing w:lineRule="auto" w:line="220" w:before="0" w:after="200"/>
        <w:ind w:left="0" w:right="0" w:firstLine="280"/>
        <w:jc w:val="both"/>
        <w:rPr/>
      </w:pPr>
      <w:r>
        <w:rPr>
          <w:color w:val="000000"/>
          <w:spacing w:val="0"/>
          <w:w w:val="100"/>
          <w:shd w:fill="auto" w:val="clear"/>
          <w:lang w:val="en-US" w:eastAsia="en-US" w:bidi="en-US"/>
        </w:rPr>
        <w:t>Frederick Rosen, „Verpflichtung und Freundschaft in Platons Grito“, Political Theory Vol. 1, Nr. 3 (August 1973); Marcuse, „Repressive Toleration“, in Wolff, Moore und Marcuse, A Critique of Pure Toleration (Boston: Beacon Press, 1965).</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Im Fall eines Mitglieds einer Gesellschaft, das mit dem Gerechtigkeitskonzept, auf dem seine Gesellschaft basiert, nicht einverstanden ist, ist es klar, dass dieses Individuum innerhalb des Systems arbeiten muss; Es gibt kein Recht auf Revolution gegen ein System, das einen lobenswerten, wenn auch unvollkommenen Versuch unternimmt, dem Gerechtigkeitsbegriff gerecht zu werden, auf dem seine Verfassung basiert, vorausgesetzt, dass dieser Gerechtigkeitsbegriff den formalen Grundsätzen der Gerechtigkeit genügt. Ein einzelner Abgeordneter wird nicht gefragt, ob er dieser Auffassung von Gerechtigkeit nicht zustimmt oder im einzelnen zustimmt; er wird nur gefragt, ob er Leistungen innerhalb des Systems angenommen hat, und die Bedeutung von „Leistungen“ wird sehr vage formuliert. In dieser Hinsicht reduziert sich das Argument auf eine philosophische Version von „Amerika – lieben Sie es oder lassen Sie es“, aber dies ist kaum überraschend und daher an sich nicht zu beanstanden. Es ist ein seltenes politisches System, das radikale Gegner tolerieren kann, die sich weigern, innerhalb der Regeln zu spielen, und ein noch selteneres (weil sich selbst beendendes) System, das ihnen aktiv helfen kann. Herbert Marcuse mag darauf bestehen, dass der Test eines legitimen Systems darin besteht, dass es seinen subversiven Minderheiten erlaubt, an die Macht zu kommen418, aber es ist schwer, dies als mehr als ein faszinierendes Paradoxon zu sehen. Das Problem des fundamentalen Dissidenten ist ein ernstes, dem nur auf drei verschiedene Arten wirklich begegnet werden kann. Erstens kann die Natur des Problems neu definiert werden, um diesen grundlegenden Dissidenten auf eine Person zu reduzieren, die entweder irrational oder uninformiert ist, und so seinen Dissens dem Irrtum gleichzusetzen; Dies ist der Weg, den Hobbes und Locke eingeschlagen haben. Zweitens kann die Person so verpflichtet werden, dass grundsätzliche abweichende Meinungen irrelevant werden; Dies ist der Weg, dem die Dankbarkeitspflicht von Sokrates und Rawls (und von Locke in diesem unnötigen Abschnitt über die stillschweigende Zustimmung) folgt. In diesem zweiten Fall scheint es merkwürdig, das Gerät mit dem Namen Vertrag zu versehen und die verpflichtende Handlung als Zustimmung zu bezeichnen. Drittens kann man die individualistische Prämisse des Kontraktualismus von vornherein leugnen und alle Formen der Zustimmung als irrelevant abtun. Unter allen anderen Bedingungen bleibt das Problem unlösbar; der Einzelne muss zwar immer noch bestraft werden, aber es kann nicht gesagt werden, dass er sich moralisch falsch verhalten hat.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1"/>
        <w:keepNext w:val="false"/>
        <w:keepLines w:val="false"/>
        <w:widowControl w:val="false"/>
        <w:shd w:val="clear" w:color="auto" w:fill="auto"/>
        <w:bidi w:val="0"/>
        <w:spacing w:before="0" w:after="280"/>
        <w:ind w:left="0" w:right="0" w:firstLine="300"/>
        <w:jc w:val="both"/>
        <w:rPr/>
      </w:pPr>
      <w:r>
        <w:rPr>
          <w:color w:val="000000"/>
          <w:spacing w:val="0"/>
          <w:w w:val="100"/>
          <w:shd w:fill="auto" w:val="clear"/>
          <w:lang w:val="en-US" w:eastAsia="en-US" w:bidi="en-US"/>
        </w:rPr>
        <w:t>Anders verhält es sich, wenn der Einzelne die Definition von Gerechtigkeit akzeptiert, aber das Gefühl hat, dass die Gesellschaft ihr nicht gerecht wird, dass eine Reihe sozialer Institutionen die Prämissen leugnen, von denen angenommen wird, dass sie die Gesellschaft rechtfertigen. Die verfügbaren Kanäle für politischen Wandel sollten genutzt werden, um diese Fehler zu korrigieren, und Rawls plädiert für die Verpflichtung, gerechte Institutionen zu verwirklichen, die für alle Bürger verbindlich sind.419 Wenn diese normalen Kanäle nicht ausreichen, räumt er als letztes Mittel ein Recht auf zivilen Ungehorsam ein.420 Dieses Recht unterliegt drei wichtigen Einschränkungen. Erstens muss der Ungehorsam bürgerlich sein im Sinne der Akzeptanz der vom Gesetz auferlegten Strafen; „(c) Ivil Ungehorsam drückt den Ungehorsam gegenüber dem Gesetz innerhalb der Grenzen der Gesetzestreue aus.“421 Alles andere würde die zivile Natur des Ungehorsams verschleiern und wäre nicht zu rechtfertigen:</w:t>
      </w:r>
    </w:p>
    <w:p>
      <w:pPr>
        <w:pStyle w:val="Flietext1"/>
        <w:keepNext w:val="false"/>
        <w:keepLines w:val="false"/>
        <w:widowControl w:val="false"/>
        <w:shd w:val="clear" w:color="auto" w:fill="auto"/>
        <w:bidi w:val="0"/>
        <w:spacing w:before="0" w:after="280"/>
        <w:ind w:left="240" w:right="0" w:firstLine="380"/>
        <w:jc w:val="left"/>
        <w:rPr/>
      </w:pPr>
      <w:r>
        <w:rPr>
          <w:color w:val="000000"/>
          <w:spacing w:val="0"/>
          <w:w w:val="100"/>
          <w:shd w:fill="auto" w:val="clear"/>
          <w:vertAlign w:val="superscript"/>
          <w:lang w:val="en-US" w:eastAsia="en-US" w:bidi="en-US"/>
        </w:rPr>
        <w:t>bereit zu sein, die rechtlichen Konsequenzen seines Verhaltens zu akzeptieren, ist ein Bund, der gegeben wird, um seine Aufrichtigkeit wiedergutzumachen, denn dass jemand gewissenhaft handelt, ist nicht leicht einem anderen oder sogar vor sich selbst zu demonstrieren ... wir müssen einen Preis zahlen, um das festzustellen Wir glauben, dass unsere Handlungen eine moralische Grundlage in den Überzeugungen der Gemeinschaft haben.422</w:t>
      </w:r>
    </w:p>
    <w:p>
      <w:pPr>
        <w:pStyle w:val="Flietext21"/>
        <w:keepNext w:val="false"/>
        <w:keepLines w:val="false"/>
        <w:widowControl w:val="false"/>
        <w:numPr>
          <w:ilvl w:val="0"/>
          <w:numId w:val="35"/>
        </w:numPr>
        <w:shd w:val="clear" w:color="auto" w:fill="auto"/>
        <w:tabs>
          <w:tab w:val="clear" w:pos="720"/>
          <w:tab w:val="left" w:pos="625" w:leader="none"/>
        </w:tabs>
        <w:bidi w:val="0"/>
        <w:spacing w:lineRule="auto" w:line="213" w:before="0" w:after="0"/>
        <w:ind w:left="0" w:right="0" w:firstLine="300"/>
        <w:jc w:val="both"/>
        <w:rPr/>
      </w:pPr>
      <w:r>
        <w:rPr>
          <w:color w:val="000000"/>
          <w:spacing w:val="0"/>
          <w:w w:val="100"/>
          <w:shd w:fill="auto" w:val="clear"/>
          <w:lang w:val="en-US" w:eastAsia="en-US" w:bidi="en-US"/>
        </w:rPr>
        <w:t>Marcuse, „Repressive Toleration“, in Wolff, Moore und Marcuse, A Critique of Pure Toleration (Boston: Beacon Press, 1965).</w:t>
      </w:r>
    </w:p>
    <w:p>
      <w:pPr>
        <w:pStyle w:val="Flietext21"/>
        <w:keepNext w:val="false"/>
        <w:keepLines w:val="false"/>
        <w:widowControl w:val="false"/>
        <w:numPr>
          <w:ilvl w:val="0"/>
          <w:numId w:val="35"/>
        </w:numPr>
        <w:shd w:val="clear" w:color="auto" w:fill="auto"/>
        <w:tabs>
          <w:tab w:val="clear" w:pos="720"/>
          <w:tab w:val="left" w:pos="639" w:leader="none"/>
        </w:tabs>
        <w:bidi w:val="0"/>
        <w:spacing w:lineRule="auto" w:line="189" w:before="0" w:after="0"/>
        <w:ind w:left="0" w:right="0" w:firstLine="240"/>
        <w:jc w:val="left"/>
        <w:rPr/>
      </w:pPr>
      <w:r>
        <w:rPr>
          <w:color w:val="000000"/>
          <w:spacing w:val="0"/>
          <w:w w:val="100"/>
          <w:shd w:fill="auto" w:val="clear"/>
          <w:lang w:val="en-US" w:eastAsia="en-US" w:bidi="en-US"/>
        </w:rPr>
        <w:t>Rawls, „Die Rechtfertigung des zivilen Ungehorsams“, S. 343.</w:t>
      </w:r>
    </w:p>
    <w:p>
      <w:pPr>
        <w:pStyle w:val="Flietext21"/>
        <w:keepNext w:val="false"/>
        <w:keepLines w:val="false"/>
        <w:widowControl w:val="false"/>
        <w:numPr>
          <w:ilvl w:val="0"/>
          <w:numId w:val="35"/>
        </w:numPr>
        <w:shd w:val="clear" w:color="auto" w:fill="auto"/>
        <w:tabs>
          <w:tab w:val="clear" w:pos="720"/>
          <w:tab w:val="left" w:pos="639" w:leader="none"/>
        </w:tabs>
        <w:bidi w:val="0"/>
        <w:spacing w:lineRule="auto" w:line="189" w:before="0" w:after="200"/>
        <w:ind w:left="0" w:right="0" w:firstLine="240"/>
        <w:jc w:val="left"/>
        <w:rPr/>
      </w:pPr>
      <w:r>
        <w:rPr>
          <w:color w:val="000000"/>
          <w:spacing w:val="0"/>
          <w:w w:val="100"/>
          <w:shd w:fill="auto" w:val="clear"/>
          <w:lang w:val="en-US" w:eastAsia="en-US" w:bidi="en-US"/>
        </w:rPr>
        <w:t>Ebd., p. 349.</w:t>
      </w:r>
    </w:p>
    <w:p>
      <w:pPr>
        <w:pStyle w:val="Flietext1"/>
        <w:keepNext w:val="false"/>
        <w:keepLines w:val="false"/>
        <w:widowControl w:val="false"/>
        <w:shd w:val="clear" w:color="auto" w:fill="auto"/>
        <w:bidi w:val="0"/>
        <w:spacing w:before="0" w:after="0"/>
        <w:ind w:left="0" w:right="0" w:hanging="0"/>
        <w:jc w:val="both"/>
        <w:rPr/>
      </w:pPr>
      <w:r>
        <w:rPr>
          <w:color w:val="000000"/>
          <w:spacing w:val="0"/>
          <w:w w:val="100"/>
          <w:shd w:fill="auto" w:val="clear"/>
          <w:vertAlign w:val="superscript"/>
          <w:lang w:val="en-US" w:eastAsia="en-US" w:bidi="en-US"/>
        </w:rPr>
        <w:t>Zweitens muss sich der Ungehorsam gegen Missbräuche des Gleichheitsgebots seines Gerechtigkeitsbegriffs richten. Offensichtlich ist dies ein Hinweis auf Bürgerrechte, und die anfänglichen Negerproteste in den Vereinigten Staaten fügen sich nahtlos in seine Kriterien ein. Auch hier will er den Ungehorsam auf klare Fälle beschränken. In Fällen willkürlicher Ungleichheit ist er sich seiner Sache weniger sicher; Willkürliche Ungleichheit ist per Definition ungerechtfertigt und ungerecht, aber die Entscheidung darüber, was „willkürliche“ Ungleichheit ist, ist so sehr eine subjektive Angelegenheit, dass ihre Bestimmung am besten einem ordnungsgemäßen Verfahren und Konsens überlassen wird, und sie wird fälschlicherweise als Rechtfertigung für zivilen Ungehorsam herangezogen .423 Drittens, wenn es so viele Mitglieder einer Gruppe oder so viele verschiedene Gruppen gibt, die ihren zivilen Ungehorsam klar rechtfertigen können, dass ihre Handlungen das System selbst gefährden würden, dann ist dieses Recht eines, das nicht richtig ausgeübt werden kann; Einzelpersonen oder Gruppen in dieser Situation sind in gewisser Weise verpflichtet, ihre Aktivitäten einzuschränken, um zu verhindern, dass diese Störung oder dieser Schaden eintritt, und er schlägt eine Auswahl per Los vor, um festzustellen, welche Gruppen oder Einzelpersonen das Recht tatsächlich ausüben können.424 Dies ist ein merkwürdiges Argument. Wenn er darauf hinweisen will, dass solche Gruppen bei der Beurteilung ihres berechtigten Verhaltens die taktischen Konsequenzen ihres Handelns im Auge behalten müssen, dann ist das unbedenklich. Aber sicherlich gibt es irgendwo auf der Linie einen Punkt, an dem man sagen möchte, dass das System gefährdet sein sollte, wenn es seiner eigenen Grundauffassung von Gerechtigkeit so schlecht gerecht wird, dass es so viele Gruppen gibt, die ihre klar begründen können ziviler Ungehorsam. Rawls hat das Deck effektiv zugunsten des Systems aufgeschichtet, indem er die Anhänger anderer Gerechtigkeitskonzepte entwaffnet hat; Wenn sich das System immer noch nicht durchsetzen kann, dann stimmt etwas ernsthaft nicht. Ein Recht zu haben ist eine Sache; taktische Erwägungen zu beurteilen, die die Wünschbarkeit der Ausübung dieses Rechts beeinflussen, ist eine andere, und Rawls weist zu Recht darauf hin. Es ist jedoch nicht klar, ob es irgendeinen Grund zu der Annahme gibt, dass das Überleben des Systems das letzte absolute übergeordnete Kriterium ist und immer sein muss – natürlich eine wichtige Überlegung, aber keinesfalls eine vorbeugende. Es ist merkwürdig, dass Rawls (wenn auch widerstrebend) bereit ist, den Sturz eines Systems mit gewaltsamen Mitteln zuzulassen, das nicht auf einen Aufruf des zivilen Ungehorsams reagiert, aber anscheinend nicht bereit ist, seine Störung durch eine einfache Eskalation des gewaltfreien zivilen Ungehorsams zu dulden. (Wenn er offenbar bereit ist, die Eskalation aller erfolglosen Fälle zivilen Ungehorsams zu bewaffneter aufständischer Gewalt hinzunehmen,425 ist es kein Wunder, dass er den zivilen Ungehorsam selbst auf „erhebliche und eindeutige Rechtsverletzungen“ beschränken will. )426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21"/>
        <w:keepNext w:val="false"/>
        <w:keepLines w:val="false"/>
        <w:widowControl w:val="false"/>
        <w:numPr>
          <w:ilvl w:val="0"/>
          <w:numId w:val="35"/>
        </w:numPr>
        <w:shd w:val="clear" w:color="auto" w:fill="auto"/>
        <w:tabs>
          <w:tab w:val="clear" w:pos="720"/>
          <w:tab w:val="left" w:pos="625" w:leader="none"/>
        </w:tabs>
        <w:bidi w:val="0"/>
        <w:spacing w:lineRule="auto" w:line="240" w:before="0" w:after="0"/>
        <w:ind w:left="0" w:right="0" w:firstLine="240"/>
        <w:jc w:val="left"/>
        <w:rPr/>
      </w:pPr>
      <w:r>
        <w:rPr>
          <w:color w:val="000000"/>
          <w:spacing w:val="0"/>
          <w:w w:val="100"/>
          <w:shd w:fill="auto" w:val="clear"/>
          <w:lang w:val="en-US" w:eastAsia="en-US" w:bidi="en-US"/>
        </w:rPr>
        <w:t>Rawls, „Die Rechtfertigung des zivilen Ungehorsams“, S. 348.</w:t>
      </w:r>
    </w:p>
    <w:p>
      <w:pPr>
        <w:pStyle w:val="Flietext1"/>
        <w:keepNext w:val="false"/>
        <w:keepLines w:val="false"/>
        <w:widowControl w:val="false"/>
        <w:numPr>
          <w:ilvl w:val="0"/>
          <w:numId w:val="35"/>
        </w:numPr>
        <w:shd w:val="clear" w:color="auto" w:fill="auto"/>
        <w:tabs>
          <w:tab w:val="clear" w:pos="720"/>
          <w:tab w:val="left" w:pos="634" w:leader="none"/>
        </w:tabs>
        <w:bidi w:val="0"/>
        <w:spacing w:lineRule="auto" w:line="204" w:before="0" w:after="0"/>
        <w:ind w:left="0" w:right="0" w:firstLine="240"/>
        <w:jc w:val="left"/>
        <w:rPr>
          <w:sz w:val="22"/>
          <w:szCs w:val="22"/>
        </w:rPr>
      </w:pPr>
      <w:r>
        <w:rPr>
          <w:color w:val="000000"/>
          <w:spacing w:val="0"/>
          <w:w w:val="100"/>
          <w:sz w:val="22"/>
          <w:szCs w:val="22"/>
          <w:shd w:fill="auto" w:val="clear"/>
          <w:lang w:val="en-US" w:eastAsia="en-US" w:bidi="en-US"/>
        </w:rPr>
        <w:t>Ebenda.</w:t>
      </w:r>
    </w:p>
    <w:p>
      <w:pPr>
        <w:pStyle w:val="Flietext21"/>
        <w:keepNext w:val="false"/>
        <w:keepLines w:val="false"/>
        <w:widowControl w:val="false"/>
        <w:numPr>
          <w:ilvl w:val="0"/>
          <w:numId w:val="35"/>
        </w:numPr>
        <w:shd w:val="clear" w:color="auto" w:fill="auto"/>
        <w:tabs>
          <w:tab w:val="clear" w:pos="720"/>
          <w:tab w:val="left" w:pos="634" w:leader="none"/>
        </w:tabs>
        <w:bidi w:val="0"/>
        <w:spacing w:lineRule="auto" w:line="228" w:before="0" w:after="0"/>
        <w:ind w:left="0" w:right="0" w:firstLine="240"/>
        <w:jc w:val="left"/>
        <w:rPr/>
      </w:pPr>
      <w:r>
        <w:rPr>
          <w:color w:val="000000"/>
          <w:spacing w:val="0"/>
          <w:w w:val="100"/>
          <w:shd w:fill="auto" w:val="clear"/>
          <w:lang w:val="en-US" w:eastAsia="en-US" w:bidi="en-US"/>
        </w:rPr>
        <w:t>Ebd., p. 350.</w:t>
      </w:r>
    </w:p>
    <w:p>
      <w:pPr>
        <w:pStyle w:val="Flietext21"/>
        <w:keepNext w:val="false"/>
        <w:keepLines w:val="false"/>
        <w:widowControl w:val="false"/>
        <w:numPr>
          <w:ilvl w:val="0"/>
          <w:numId w:val="35"/>
        </w:numPr>
        <w:shd w:val="clear" w:color="auto" w:fill="auto"/>
        <w:tabs>
          <w:tab w:val="clear" w:pos="720"/>
          <w:tab w:val="left" w:pos="634" w:leader="none"/>
        </w:tabs>
        <w:bidi w:val="0"/>
        <w:spacing w:lineRule="auto" w:line="228" w:before="0" w:after="220"/>
        <w:ind w:left="0" w:right="0" w:firstLine="240"/>
        <w:jc w:val="left"/>
        <w:rPr/>
      </w:pPr>
      <w:r>
        <w:rPr>
          <w:color w:val="000000"/>
          <w:spacing w:val="0"/>
          <w:w w:val="100"/>
          <w:shd w:fill="auto" w:val="clear"/>
          <w:lang w:val="en-US" w:eastAsia="en-US" w:bidi="en-US"/>
        </w:rPr>
        <w:t>Ebd., p. 351.</w:t>
      </w:r>
    </w:p>
    <w:p>
      <w:pPr>
        <w:pStyle w:val="Flietext1"/>
        <w:keepNext w:val="false"/>
        <w:keepLines w:val="false"/>
        <w:widowControl w:val="false"/>
        <w:shd w:val="clear" w:color="auto" w:fill="auto"/>
        <w:bidi w:val="0"/>
        <w:spacing w:before="0" w:after="220"/>
        <w:ind w:left="0" w:right="0" w:firstLine="260"/>
        <w:jc w:val="both"/>
        <w:rPr/>
      </w:pPr>
      <w:r>
        <w:rPr>
          <w:color w:val="000000"/>
          <w:spacing w:val="0"/>
          <w:w w:val="100"/>
          <w:shd w:fill="auto" w:val="clear"/>
          <w:lang w:val="en-US" w:eastAsia="en-US" w:bidi="en-US"/>
        </w:rPr>
        <w:t>Die kumulative Wirkung dieser drei Einschränkungen plus die Behandlung fundamentaler Dissidenten ist frappierend. Es gibt zwei Situationen, in denen die Verpflichtung eines Individuums zu einem Gerechtigkeitsbegriff gegen die Verpflichtung zu einem System ausgespielt werden kann, das angeblich auf einem Gerechtigkeitsbegriff basiert: erstens, wenn diese Gerechtigkeitsbegriffe nicht übereinstimmen; zweitens, wenn dieses System seiner eigenen Auffassung von Gerechtigkeit nicht gerecht wird. Im ersten Fall löst Rawls die Spannung zugunsten des Systems, nicht zugunsten des Bekenntnisses zu einem Gerechtigkeitsbegriff; in der zweiten ist seine Antwort zweideutiger und postuliert ein begrenztes Recht auf zivilen Ungehorsam, der zu Recht zu einem bewaffneten Aufstand eskalieren kann. Seine anfängliche Erklärung, dass „wir eine natürliche Pflicht haben, uns der Errichtung gerechter und effizienter Institutionen (wenn sie noch nicht existieren) nicht zu widersetzen und sie aufrechtzuerhalten und einzuhalten (wenn sie existieren)“427 ist in ihrer negativen Formulierung aufschlussreich ( „Eine Pflicht, sich nicht zu widersetzen“), geht aber noch nicht weit genug in diese Richtung; was er tatsächlich vorschlägt, ist eine Pflicht, ungerechte Institutionen zu beseitigen. Ein Appell von einem Anhänger einer Konzeption an einen Anhänger einer zweiten in Bezug auf „gerechte“ Institutionen ist mehrdeutig; angesichts der allgemeingültigen formalen Beschränkungen des Gerechtigkeitsbegriffs ist ein Appell zur Verringerung von Unrecht jedoch keines. (Nachdem er vorgeschlagen hat, dass ziviler Ungehorsam auf „erhebliche und eindeutige Rechtsverletzungen“428 beschränkt werden sollte, qualifiziert er dies weiter als „diejenigen, die, wenn sie behoben werden, eine Grundlage für die Beseitigung verbleibender Ungerechtigkeiten bilden“.)429 Ergänzend zu diese inhaltliche Verschiebung von positiven zu negativen Prinzipien ist die Verschiebung vom unterstellten Vertragsmodell zum sokratischen Proto-Vertragsmodell – die Betonung liegt nicht mehr auf der direkten und positiven Bindung an einen bestimmten Standard, sondern auf der Annahme von Vorteilen innerhalb formaler Grenzen .</w:t>
      </w:r>
    </w:p>
    <w:p>
      <w:pPr>
        <w:pStyle w:val="Flietext21"/>
        <w:keepNext w:val="false"/>
        <w:keepLines w:val="false"/>
        <w:widowControl w:val="false"/>
        <w:numPr>
          <w:ilvl w:val="0"/>
          <w:numId w:val="35"/>
        </w:numPr>
        <w:shd w:val="clear" w:color="auto" w:fill="auto"/>
        <w:tabs>
          <w:tab w:val="clear" w:pos="720"/>
          <w:tab w:val="left" w:pos="634" w:leader="none"/>
        </w:tabs>
        <w:bidi w:val="0"/>
        <w:spacing w:lineRule="auto" w:line="240" w:before="0" w:after="0"/>
        <w:ind w:left="0" w:right="0" w:firstLine="240"/>
        <w:jc w:val="left"/>
        <w:rPr/>
      </w:pPr>
      <w:r>
        <w:rPr>
          <w:color w:val="000000"/>
          <w:spacing w:val="0"/>
          <w:w w:val="100"/>
          <w:shd w:fill="auto" w:val="clear"/>
          <w:lang w:val="en-US" w:eastAsia="en-US" w:bidi="en-US"/>
        </w:rPr>
        <w:t>Ebd., p. 349.</w:t>
      </w:r>
    </w:p>
    <w:p>
      <w:pPr>
        <w:pStyle w:val="Flietext1"/>
        <w:keepNext w:val="false"/>
        <w:keepLines w:val="false"/>
        <w:widowControl w:val="false"/>
        <w:numPr>
          <w:ilvl w:val="0"/>
          <w:numId w:val="35"/>
        </w:numPr>
        <w:shd w:val="clear" w:color="auto" w:fill="auto"/>
        <w:tabs>
          <w:tab w:val="clear" w:pos="720"/>
          <w:tab w:val="left" w:pos="634" w:leader="none"/>
        </w:tabs>
        <w:bidi w:val="0"/>
        <w:spacing w:lineRule="auto" w:line="213" w:before="0" w:after="220"/>
        <w:ind w:left="0" w:right="0" w:firstLine="240"/>
        <w:jc w:val="left"/>
        <w:rPr>
          <w:sz w:val="22"/>
          <w:szCs w:val="22"/>
        </w:rPr>
      </w:pPr>
      <w:r>
        <w:rPr>
          <w:color w:val="000000"/>
          <w:spacing w:val="0"/>
          <w:w w:val="100"/>
          <w:sz w:val="22"/>
          <w:szCs w:val="22"/>
          <w:shd w:fill="auto" w:val="clear"/>
          <w:lang w:val="en-US" w:eastAsia="en-US" w:bidi="en-US"/>
        </w:rPr>
        <w:t>Ebenda.</w:t>
      </w:r>
    </w:p>
    <w:p>
      <w:pPr>
        <w:pStyle w:val="Flietext1"/>
        <w:keepNext w:val="false"/>
        <w:keepLines w:val="false"/>
        <w:widowControl w:val="false"/>
        <w:shd w:val="clear" w:color="auto" w:fill="auto"/>
        <w:bidi w:val="0"/>
        <w:spacing w:lineRule="auto" w:line="259" w:before="0" w:after="0"/>
        <w:ind w:left="0" w:right="0" w:firstLine="260"/>
        <w:jc w:val="both"/>
        <w:rPr/>
      </w:pPr>
      <w:r>
        <w:rPr>
          <w:color w:val="000000"/>
          <w:spacing w:val="0"/>
          <w:w w:val="100"/>
          <w:shd w:fill="auto" w:val="clear"/>
          <w:lang w:val="en-US" w:eastAsia="en-US" w:bidi="en-US"/>
        </w:rPr>
        <w:t>Zusammenfassend ist der Vertrag von Rawls in gewissem Sinne quasi-historisch. Die Zustimmung ist nicht wichtig oder direkt eine fortlaufende; Ich akzeptiere möglicherweise weiterhin die Vorstellung von Gerechtigkeit, die dem System zugrunde liegt, in dem ich mich befinde, aber dies ist weder für meine Verpflichtung noch für das System von zentraler Bedeutung. Der Vertrag geschah, entweder tatsächlich oder mythisch, zu einem „früheren“ Zeitpunkt; es hat das System geschaffen, in dem ich mich befinde. Der Vertrag rechtfertigt das System, aber es ist nicht meine direkte Zustimmung, die den Vertrag damals geschlossen hat.</w:t>
      </w:r>
    </w:p>
    <w:p>
      <w:pPr>
        <w:pStyle w:val="Flietext1"/>
        <w:keepNext w:val="false"/>
        <w:keepLines w:val="false"/>
        <w:widowControl w:val="false"/>
        <w:shd w:val="clear" w:color="auto" w:fill="auto"/>
        <w:bidi w:val="0"/>
        <w:spacing w:before="0" w:after="240"/>
        <w:ind w:left="0" w:right="0" w:firstLine="280"/>
        <w:jc w:val="both"/>
        <w:rPr/>
      </w:pPr>
      <w:r>
        <w:rPr>
          <w:color w:val="000000"/>
          <w:spacing w:val="0"/>
          <w:w w:val="100"/>
          <w:shd w:fill="auto" w:val="clear"/>
          <w:lang w:val="en-US" w:eastAsia="en-US" w:bidi="en-US"/>
        </w:rPr>
        <w:t>Die Anklage gegen das System beinhaltet folglich ein gewisses Maß an historischer Recherche. Die Verpflichtung bestimmt sich durch die Vorteilsannahme innerhalb eines Systems, das nicht auf Unrecht beruht; die frage, worauf das system beruht, und also welche konkrete vorstellung von gerechtigkeit es zu verwirklichen versucht, wird durch eine genaue untersuchung des nicht-ungerechten systems beantwortet. Diese spezifischen Bedingungen sind nicht bindend, weil sie so sind, dass alle vernünftigen Menschen sie akzeptieren müssen und nicht ablehnen können, sie zu akzeptieren, ohne dadurch aufzuhören, rational zu sein (wie es bei Hobbes und Locke der Fall ist), nicht weil ich selbst notwendigerweise weiterhin direkt gebe Zustimmung zu dieser bestimmten Konzeption, sondern sind eher willkürlich und werden für mich nur deshalb objektiv und bindend, weil sie in einer Verfassungsordnung verankert sind, in der ich lebe.</w:t>
      </w:r>
    </w:p>
    <w:p>
      <w:pPr>
        <w:pStyle w:val="Flietext21"/>
        <w:keepNext w:val="false"/>
        <w:keepLines w:val="false"/>
        <w:widowControl w:val="false"/>
        <w:numPr>
          <w:ilvl w:val="0"/>
          <w:numId w:val="35"/>
        </w:numPr>
        <w:shd w:val="clear" w:color="auto" w:fill="auto"/>
        <w:tabs>
          <w:tab w:val="clear" w:pos="720"/>
          <w:tab w:val="left" w:pos="639" w:leader="none"/>
        </w:tabs>
        <w:bidi w:val="0"/>
        <w:spacing w:lineRule="auto" w:line="240" w:before="0" w:after="0"/>
        <w:ind w:left="0" w:right="0" w:firstLine="240"/>
        <w:jc w:val="left"/>
        <w:rPr/>
      </w:pPr>
      <w:r>
        <w:rPr>
          <w:color w:val="000000"/>
          <w:spacing w:val="0"/>
          <w:w w:val="100"/>
          <w:shd w:fill="auto" w:val="clear"/>
          <w:lang w:val="en-US" w:eastAsia="en-US" w:bidi="en-US"/>
        </w:rPr>
        <w:t>Ebd., p. 343.</w:t>
      </w:r>
    </w:p>
    <w:p>
      <w:pPr>
        <w:pStyle w:val="Flietext21"/>
        <w:keepNext w:val="false"/>
        <w:keepLines w:val="false"/>
        <w:widowControl w:val="false"/>
        <w:numPr>
          <w:ilvl w:val="0"/>
          <w:numId w:val="35"/>
        </w:numPr>
        <w:shd w:val="clear" w:color="auto" w:fill="auto"/>
        <w:tabs>
          <w:tab w:val="clear" w:pos="720"/>
          <w:tab w:val="left" w:pos="639" w:leader="none"/>
        </w:tabs>
        <w:bidi w:val="0"/>
        <w:spacing w:lineRule="auto" w:line="220" w:before="0" w:after="0"/>
        <w:ind w:left="0" w:right="0" w:firstLine="240"/>
        <w:jc w:val="left"/>
        <w:rPr/>
      </w:pPr>
      <w:r>
        <w:rPr>
          <w:color w:val="000000"/>
          <w:spacing w:val="0"/>
          <w:w w:val="100"/>
          <w:shd w:fill="auto" w:val="clear"/>
          <w:lang w:val="en-US" w:eastAsia="en-US" w:bidi="en-US"/>
        </w:rPr>
        <w:t>Ebd., p. 349.</w:t>
      </w:r>
    </w:p>
    <w:p>
      <w:pPr>
        <w:pStyle w:val="Flietext1"/>
        <w:keepNext w:val="false"/>
        <w:keepLines w:val="false"/>
        <w:widowControl w:val="false"/>
        <w:numPr>
          <w:ilvl w:val="0"/>
          <w:numId w:val="35"/>
        </w:numPr>
        <w:shd w:val="clear" w:color="auto" w:fill="auto"/>
        <w:tabs>
          <w:tab w:val="clear" w:pos="720"/>
          <w:tab w:val="left" w:pos="639" w:leader="none"/>
        </w:tabs>
        <w:bidi w:val="0"/>
        <w:spacing w:lineRule="auto" w:line="213" w:before="0" w:after="200"/>
        <w:ind w:left="0" w:right="0" w:firstLine="240"/>
        <w:jc w:val="left"/>
        <w:rPr>
          <w:sz w:val="22"/>
          <w:szCs w:val="22"/>
        </w:rPr>
      </w:pPr>
      <w:r>
        <w:rPr>
          <w:color w:val="000000"/>
          <w:spacing w:val="0"/>
          <w:w w:val="100"/>
          <w:sz w:val="22"/>
          <w:szCs w:val="22"/>
          <w:shd w:fill="auto" w:val="clear"/>
          <w:lang w:val="en-US" w:eastAsia="en-US" w:bidi="en-US"/>
        </w:rPr>
        <w:t>Ebenda.</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Es wurde argumentiert, dass der historische Ansatz (Wie konnten sich Männer in einem solchen Zustand geeinigt haben? Wie können wir wissen, was sie vereinbart haben? Warum ist es für mich bindend, wenn ich keine direkte Vertragspartei war?) so oft gegen die verwendet wird klassischen Kontraktualisten verfehlt das Ziel völlig, da ihre Argumentation ganz anders ist. Seltsamerweise fährt Rawls Hunderte von Jahren später genau über das Minenfeld, das so lange brach lag. Die Frage, wie solche Männer zustimmen konnten, beantwortet der liberale Mythos des autonomen Individuums (seine mythische Qualität wird durch den Schleier der Unwissenheit verstärkt). Die Frage, was vereinbart wurde, wird gelöst, indem nur Verfassungssysteme betrachtet werden. Und vor allem die Frage, warum ich als Nachfolgemitglied verpflichtet bin, wird nicht mit einem rein vertragsrechtlichen Argument beantwortet, sondern mit seinem älteren Cousin, der Dankbarkeitsdebatte, in Verbindung mit rein formalen Gerechtigkeitsprinzipien. Die zentrale Schwäche wurde bereits angedeutet: Rawls akzeptiert ein gewisses Maß an Relativismus, indem es eine Reihe sich gegenseitig ausschließender Gerechtigkeitskonzepte gibt, die seinen formalen Kriterien entsprechen. Insofern stellt die Vertragsstiftungsgesellschaft eine willkürliche Wahl dar – es wird nicht die einzig mögliche, sondern eine zulässige Option gewählt. Die formalen und negativen Kriterien der Gerechtigkeit, die diesen Grad an Relativismus zugelassen haben, dienen weiterhin dazu, Widerstand nur gegen Ungerechtigkeit zuzulassen; Dissens im Bereich des „Nicht-Ungerechten“, Bekenntnis zu unterschiedlichen Gerechtigkeitsvorstellungen reicht nicht aus, um Widerstand zu rechtfertigen. Der Slogan ist nicht positiv – „verwirklichen Sie Ihre eigene Vorstellung von Gerechtigkeit“ – da dies zu heiligen Kriegen und ihren modernen Gegenstücken führt, sondern negativ – „beseitigen Sie Ungerechtigkeit“. Rawls kann uns sagen, wogegen wir sein sollten, aber keine eindeutige Bestimmung dessen, wofür wir sein sollten. Da es eine Reihe von „nicht ungerechten“ Gerechtigkeitsvorstellungen gibt und in einer bestimmten Gesellschaft mehrere davon von verschiedenen Individuen akzeptiert werden können, kann es an einer direkten Zustimmung im Sinne einer einstimmigen Bekenntnis zu einer bestimmten Gerechtigkeitsvorstellung fehlen ; Rawls begründet die Verpflichtung daher nicht mit einer solchen Einstimmigkeit, sondern mit der Vorteilsannahme innerhalb eines nicht ungerechten Systems.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1"/>
        <w:keepNext w:val="false"/>
        <w:keepLines w:val="false"/>
        <w:widowControl w:val="false"/>
        <w:shd w:val="clear" w:color="auto" w:fill="auto"/>
        <w:bidi w:val="0"/>
        <w:spacing w:before="0" w:after="260"/>
        <w:ind w:left="0" w:right="0" w:firstLine="320"/>
        <w:jc w:val="both"/>
        <w:rPr/>
      </w:pPr>
      <w:r>
        <w:rPr>
          <w:color w:val="000000"/>
          <w:spacing w:val="0"/>
          <w:w w:val="100"/>
          <w:shd w:fill="auto" w:val="clear"/>
          <w:lang w:val="en-US" w:eastAsia="en-US" w:bidi="en-US"/>
        </w:rPr>
        <w:t>Man muss auch auf die starken Untertöne des Utilitarismus hinweisen. Die anfängliche Paarung ist bedeutsam – er hält es für selbstverständlich, dass jeder Einzelne die Pflicht hat, effiziente und gerechte Institutionen zu unterstützen. Ungleichheiten werden mit dem erhöhten Nutzen für alle gerechtfertigt. Es ist nicht einfach klassischer Utilitarismus – Rawls ist eher für das Problem der Steigerung des Gesamtglücks durch die Versklavung von 10 %430 übersensibilisiert –, sondern das glückliche Kalkül bleibt im Hintergrund, schlecht wiedergegeben in Wolffs „allgemein bevorzugt“.432 Rawls' Mann ist es ein Wirtschaftsmensch, der darauf bedacht ist, seinen eigenen Vorteil zu maximieren, aber im Gegensatz zu dem wagemutigen Risikoträger, der der Verfechter der Laisser-faire-Apologeten ist, scheint dieser Wirtschaftsmensch merkwürdig vorsichtig zu sein – Rawls untermauert seine „Schleier der Ignoranz“-Vorschläge, indem er sagt, dass a Der Mensch muss eine Verfassung bestimmen, als würde ihm sein schlimmster Feind seinen Platz zuweisen. 433 Der Wirtschaftsmensch von Rawls ist kein Spieler und wird die Minimax-Lösung wählen (obwohl dies, wie Barry betont, eher behauptet als bewiesen wird). im völlig unsicheren Naturzustand, obwohl Hobbes es noch weiter treibt; für Rawls begünstigen die Quoten im Casino leicht das Haus, und der rationale Wirtschaftsmann wird immer die Prozentsätze spielen; Für Hobbes haben die Roulette-Räder eine große Anzahl von Doppelnullen und Bankrotteure werden garrottiert. Hall hat kein Problem damit, Rawls als eine „moderne Anwendung“ der Ideen von Rousseau zu sehen, aber nur, weil Hall Rousseau selbst für seine eigenen Zwecke bereits so interpretiert hat, dass er sich mit Begriffen des Wirtschaftsmenschen befasst, wobei die volonte generale zu nichts anderem als einem Verfahren wird für Kompromisse.435 Das Problem des Utilitarismus besteht darin, dass er dazu neigt, die Verpflichtung auf die Neigung und die Moral auf die Maximierung zu reduzieren. Hobbes kann in diese Richtung tendieren, weil er unterwegs Moral und Gerechtigkeit so rigoros modifiziert hat; Locke kann damit spielen, weil sein Zustand so wenig zu tun hat; Rawls hat viel mehr Probleme, weil er versucht, die Moral zu erklären. Man will Moral zwar nicht als völlig unpraktisch hinstellen – Effizienz und Gerechtigkeit schließen sich nicht aus – aber es ist keineswegs selbstverständlich, dass es ein moralisches Argument ist, auf die Frage „warum sollte ich das tun?“ zu antworten. indem Sie sagen: „Weil es Ihnen besser gehen wird; sicherlich ist es nicht die gleiche Art von Antwort wie „Weil Sie es versprochen haben“, und es scheint ein schwerwiegender Fehler von Rawls' Herangehensweise zu sein, dass er dazu neigt, den Unterschied zwischen ihnen zu verwischen. So wie Wolff und Barry fragen, ob es Gerechtigkeit ist, die er in seine Argumentation mit einbezieht, kann man darüber streiten, ob es Verpflichtung ist, die er hervorgebracht hat.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21"/>
        <w:keepNext w:val="false"/>
        <w:keepLines w:val="false"/>
        <w:widowControl w:val="false"/>
        <w:numPr>
          <w:ilvl w:val="0"/>
          <w:numId w:val="35"/>
        </w:numPr>
        <w:shd w:val="clear" w:color="auto" w:fill="auto"/>
        <w:tabs>
          <w:tab w:val="clear" w:pos="720"/>
          <w:tab w:val="left" w:pos="620" w:leader="none"/>
        </w:tabs>
        <w:bidi w:val="0"/>
        <w:spacing w:lineRule="auto" w:line="225" w:before="0" w:after="200"/>
        <w:ind w:left="0" w:right="0" w:firstLine="260"/>
        <w:jc w:val="both"/>
        <w:rPr/>
      </w:pPr>
      <w:r>
        <w:rPr>
          <w:color w:val="000000"/>
          <w:spacing w:val="0"/>
          <w:w w:val="100"/>
          <w:shd w:fill="auto" w:val="clear"/>
          <w:lang w:val="en-US" w:eastAsia="en-US" w:bidi="en-US"/>
        </w:rPr>
        <w:t>Utilitaristen finden es manchmal unfair, dass Kritiker behaupten, sie hätten keinen Grund, gegen die Versklavung von 10 % der Bevölkerung Einwände zu erheben, wenn der Glücksgewinn der 90 % geringer ist als der Glücksverlust der 10 %; ein solches Argument, so wird oft gesagt, verfälsche die utilitaristische Haltung. Das kleine Liedchen, mit dem Bentham seine Argumentation zusammenfasste, scheint jedoch zu genau einem solchen Vorschlag zu führen:</w:t>
      </w:r>
    </w:p>
    <w:p>
      <w:pPr>
        <w:pStyle w:val="Flietext21"/>
        <w:keepNext w:val="false"/>
        <w:keepLines w:val="false"/>
        <w:widowControl w:val="false"/>
        <w:shd w:val="clear" w:color="auto" w:fill="auto"/>
        <w:bidi w:val="0"/>
        <w:spacing w:lineRule="auto" w:line="240" w:before="0" w:after="0"/>
        <w:ind w:left="0" w:right="0" w:firstLine="260"/>
        <w:jc w:val="both"/>
        <w:rPr/>
      </w:pPr>
      <w:r>
        <w:rPr>
          <w:color w:val="000000"/>
          <w:spacing w:val="0"/>
          <w:w w:val="100"/>
          <w:shd w:fill="auto" w:val="clear"/>
          <w:lang w:val="en-US" w:eastAsia="en-US" w:bidi="en-US"/>
        </w:rPr>
        <w:t>„</w:t>
      </w:r>
      <w:r>
        <w:rPr>
          <w:color w:val="000000"/>
          <w:spacing w:val="0"/>
          <w:w w:val="100"/>
          <w:shd w:fill="auto" w:val="clear"/>
          <w:lang w:val="en-US" w:eastAsia="en-US" w:bidi="en-US"/>
        </w:rPr>
        <w:t>Intensiv, lang, sicher, schnell, fruchtbar, rein –</w:t>
      </w:r>
    </w:p>
    <w:p>
      <w:pPr>
        <w:pStyle w:val="Flietext21"/>
        <w:keepNext w:val="false"/>
        <w:keepLines w:val="false"/>
        <w:widowControl w:val="false"/>
        <w:shd w:val="clear" w:color="auto" w:fill="auto"/>
        <w:bidi w:val="0"/>
        <w:spacing w:lineRule="auto" w:line="240" w:before="0" w:after="0"/>
        <w:ind w:left="0" w:right="0" w:firstLine="260"/>
        <w:jc w:val="both"/>
        <w:rPr/>
      </w:pPr>
      <w:r>
        <w:rPr>
          <w:color w:val="000000"/>
          <w:spacing w:val="0"/>
          <w:w w:val="100"/>
          <w:shd w:fill="auto" w:val="clear"/>
          <w:lang w:val="en-US" w:eastAsia="en-US" w:bidi="en-US"/>
        </w:rPr>
        <w:t>Solche Spuren in Freuden und Schmerzen bleiben bestehen.</w:t>
      </w:r>
    </w:p>
    <w:p>
      <w:pPr>
        <w:pStyle w:val="Flietext21"/>
        <w:keepNext w:val="false"/>
        <w:keepLines w:val="false"/>
        <w:widowControl w:val="false"/>
        <w:shd w:val="clear" w:color="auto" w:fill="auto"/>
        <w:bidi w:val="0"/>
        <w:spacing w:lineRule="auto" w:line="240" w:before="0" w:after="0"/>
        <w:ind w:left="0" w:right="0" w:firstLine="260"/>
        <w:jc w:val="both"/>
        <w:rPr/>
      </w:pPr>
      <w:r>
        <w:rPr>
          <w:color w:val="000000"/>
          <w:spacing w:val="0"/>
          <w:w w:val="100"/>
          <w:shd w:fill="auto" w:val="clear"/>
          <w:lang w:val="en-US" w:eastAsia="en-US" w:bidi="en-US"/>
        </w:rPr>
        <w:t>Solche Vergnügungen suchen, wenn sie von deinem Ende privat sind;</w:t>
      </w:r>
    </w:p>
    <w:p>
      <w:pPr>
        <w:pStyle w:val="Flietext21"/>
        <w:keepNext w:val="false"/>
        <w:keepLines w:val="false"/>
        <w:widowControl w:val="false"/>
        <w:shd w:val="clear" w:color="auto" w:fill="auto"/>
        <w:bidi w:val="0"/>
        <w:spacing w:lineRule="auto" w:line="240" w:before="0" w:after="0"/>
        <w:ind w:left="0" w:right="0" w:firstLine="260"/>
        <w:jc w:val="both"/>
        <w:rPr/>
      </w:pPr>
      <w:r>
        <w:rPr>
          <w:color w:val="000000"/>
          <w:spacing w:val="0"/>
          <w:w w:val="100"/>
          <w:shd w:fill="auto" w:val="clear"/>
          <w:lang w:val="en-US" w:eastAsia="en-US" w:bidi="en-US"/>
        </w:rPr>
        <w:t>Wenn es öffentlich ist, lass sie sich weit ausdehnen.</w:t>
      </w:r>
    </w:p>
    <w:p>
      <w:pPr>
        <w:pStyle w:val="Flietext21"/>
        <w:keepNext w:val="false"/>
        <w:keepLines w:val="false"/>
        <w:widowControl w:val="false"/>
        <w:shd w:val="clear" w:color="auto" w:fill="auto"/>
        <w:bidi w:val="0"/>
        <w:spacing w:lineRule="auto" w:line="240" w:before="0" w:after="0"/>
        <w:ind w:left="0" w:right="0" w:firstLine="260"/>
        <w:jc w:val="both"/>
        <w:rPr/>
      </w:pPr>
      <w:r>
        <w:rPr>
          <w:color w:val="000000"/>
          <w:spacing w:val="0"/>
          <w:w w:val="100"/>
          <w:shd w:fill="auto" w:val="clear"/>
          <w:lang w:val="en-US" w:eastAsia="en-US" w:bidi="en-US"/>
        </w:rPr>
        <w:t>Solche Schmerzen vermeidest du aus deiner Sicht;</w:t>
      </w:r>
    </w:p>
    <w:p>
      <w:pPr>
        <w:pStyle w:val="Flietext21"/>
        <w:keepNext w:val="false"/>
        <w:keepLines w:val="false"/>
        <w:widowControl w:val="false"/>
        <w:shd w:val="clear" w:color="auto" w:fill="auto"/>
        <w:bidi w:val="0"/>
        <w:spacing w:lineRule="auto" w:line="240" w:before="0" w:after="200"/>
        <w:ind w:left="0" w:right="0" w:firstLine="260"/>
        <w:jc w:val="both"/>
        <w:rPr>
          <w:sz w:val="28"/>
          <w:szCs w:val="28"/>
        </w:rPr>
      </w:pPr>
      <w:r>
        <w:rPr>
          <w:color w:val="000000"/>
          <w:spacing w:val="0"/>
          <w:w w:val="100"/>
          <w:sz w:val="28"/>
          <w:szCs w:val="28"/>
          <w:shd w:fill="auto" w:val="clear"/>
          <w:vertAlign w:val="superscript"/>
          <w:lang w:val="en-US" w:eastAsia="en-US" w:bidi="en-US"/>
        </w:rPr>
        <w:t>Wenn Schmerzen kommen müssen, lass sie sich auf wenige ausdehnen.“431</w:t>
      </w:r>
    </w:p>
    <w:p>
      <w:pPr>
        <w:pStyle w:val="Flietext21"/>
        <w:keepNext w:val="false"/>
        <w:keepLines w:val="false"/>
        <w:widowControl w:val="false"/>
        <w:numPr>
          <w:ilvl w:val="0"/>
          <w:numId w:val="35"/>
        </w:numPr>
        <w:shd w:val="clear" w:color="auto" w:fill="auto"/>
        <w:tabs>
          <w:tab w:val="clear" w:pos="720"/>
          <w:tab w:val="left" w:pos="625" w:leader="none"/>
        </w:tabs>
        <w:bidi w:val="0"/>
        <w:spacing w:lineRule="auto" w:line="213" w:before="0" w:after="0"/>
        <w:ind w:left="0" w:right="0" w:firstLine="260"/>
        <w:jc w:val="both"/>
        <w:rPr/>
      </w:pPr>
      <w:r>
        <w:rPr>
          <w:color w:val="000000"/>
          <w:spacing w:val="0"/>
          <w:w w:val="100"/>
          <w:shd w:fill="auto" w:val="clear"/>
          <w:lang w:val="en-US" w:eastAsia="en-US" w:bidi="en-US"/>
        </w:rPr>
        <w:t>Bentham, Einführung in die Prinzipien der Moral und Gesetzgebung, Kap. III; zitiert in Melvin Rader, Ethics and the Human Community (New York: Holt, Rinehart &amp; Winston, 1964), S. 90.</w:t>
      </w:r>
    </w:p>
    <w:p>
      <w:pPr>
        <w:pStyle w:val="Flietext21"/>
        <w:keepNext w:val="false"/>
        <w:keepLines w:val="false"/>
        <w:widowControl w:val="false"/>
        <w:numPr>
          <w:ilvl w:val="0"/>
          <w:numId w:val="35"/>
        </w:numPr>
        <w:shd w:val="clear" w:color="auto" w:fill="auto"/>
        <w:tabs>
          <w:tab w:val="clear" w:pos="720"/>
          <w:tab w:val="left" w:pos="654" w:leader="none"/>
        </w:tabs>
        <w:bidi w:val="0"/>
        <w:spacing w:lineRule="auto" w:line="189" w:before="0" w:after="200"/>
        <w:ind w:left="0" w:right="0" w:firstLine="260"/>
        <w:jc w:val="both"/>
        <w:rPr/>
      </w:pPr>
      <w:r>
        <w:rPr>
          <w:color w:val="000000"/>
          <w:spacing w:val="0"/>
          <w:w w:val="100"/>
          <w:shd w:fill="auto" w:val="clear"/>
          <w:lang w:val="en-US" w:eastAsia="en-US" w:bidi="en-US"/>
        </w:rPr>
        <w:t>Wolff, „Eine Widerlegung des Rawls-Gerechtigkeitssatzes“, S. 183.</w:t>
      </w:r>
    </w:p>
    <w:p>
      <w:pPr>
        <w:pStyle w:val="Flietext1"/>
        <w:keepNext w:val="false"/>
        <w:keepLines w:val="false"/>
        <w:widowControl w:val="false"/>
        <w:shd w:val="clear" w:color="auto" w:fill="auto"/>
        <w:bidi w:val="0"/>
        <w:spacing w:before="0" w:after="200"/>
        <w:ind w:left="0" w:right="0" w:hanging="0"/>
        <w:jc w:val="both"/>
        <w:rPr/>
      </w:pPr>
      <w:r>
        <w:rPr>
          <w:color w:val="000000"/>
          <w:spacing w:val="0"/>
          <w:w w:val="100"/>
          <w:shd w:fill="auto" w:val="clear"/>
          <w:vertAlign w:val="superscript"/>
          <w:lang w:val="en-US" w:eastAsia="en-US" w:bidi="en-US"/>
        </w:rPr>
        <w:t>Der Zweck der Einbeziehung von Rawls in diese Diskussion bestand darin, Merkmale des unterstellten Vertragsarguments hervorzuheben, indem dieses Modell einem anderen Vertragsansatz gegenübergestellt wurde. Es wurde versucht aufzuzeigen, wie sehr sich die unterstellten Kontraktualisten von Rawls unterscheiden, wie unterschiedlich ihre Logik und ihr Verfahren trotz des tangentialen Punkts der Verwendung von Verträgen zur Erklärung politischer Verpflichtungen sind. Die unterstellte Vertragstheorie kann berechtigterweise auf Hobbes, Locke und Rousseau angewendet werden oder nicht; Dies ist offensichtlich eine Frage der wissenschaftlichen Debatte. Unbestreitbar ist, dass der unterstellte Vertrag eine drastische Revision der Betrachtungsweise des Gesellschaftsvertrags beinhaltet und weit mehr ist als eine kleine Ausschmückung eines quasi-historischen Vertrages à la Rawls. 568 569</w:t>
      </w:r>
    </w:p>
    <w:p>
      <w:pPr>
        <w:pStyle w:val="Flietext21"/>
        <w:keepNext w:val="false"/>
        <w:keepLines w:val="false"/>
        <w:widowControl w:val="false"/>
        <w:numPr>
          <w:ilvl w:val="0"/>
          <w:numId w:val="36"/>
        </w:numPr>
        <w:shd w:val="clear" w:color="auto" w:fill="auto"/>
        <w:tabs>
          <w:tab w:val="clear" w:pos="720"/>
          <w:tab w:val="left" w:pos="699" w:leader="none"/>
        </w:tabs>
        <w:bidi w:val="0"/>
        <w:spacing w:lineRule="auto" w:line="240" w:before="0" w:after="200"/>
        <w:ind w:left="0" w:right="0" w:firstLine="240"/>
        <w:jc w:val="left"/>
        <w:rPr/>
      </w:pPr>
      <w:r>
        <w:rPr>
          <w:color w:val="000000"/>
          <w:spacing w:val="0"/>
          <w:w w:val="100"/>
          <w:shd w:fill="auto" w:val="clear"/>
          <w:lang w:val="en-US" w:eastAsia="en-US" w:bidi="en-US"/>
        </w:rPr>
        <w:t>JC Hall, Rousseau: An Introduction to His Political Philosophy (London: Macmillan, 1973).</w:t>
      </w:r>
    </w:p>
    <w:p>
      <w:pPr>
        <w:sectPr>
          <w:footerReference w:type="even" r:id="rId23"/>
          <w:footerReference w:type="default" r:id="rId24"/>
          <w:type w:val="nextPage"/>
          <w:pgSz w:w="12240" w:h="15840"/>
          <w:pgMar w:left="1483" w:right="1483" w:gutter="0" w:header="0" w:top="1430" w:footer="789" w:bottom="1217"/>
          <w:pgNumType w:fmt="decimal"/>
          <w:formProt w:val="false"/>
          <w:textDirection w:val="lrTb"/>
          <w:docGrid w:type="default" w:linePitch="360" w:charSpace="0"/>
        </w:sect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Nachdem Rawls verwendet wurde, um der Untersuchung eine Perspektive zu verleihen und einige Kontraste zu liefern, wird die Diskussion nun fortfahren, um die Implikationen des unterstellten Vertragsinstruments weiter zu entwickeln.</w:t>
      </w:r>
    </w:p>
    <w:p>
      <w:pPr>
        <w:pStyle w:val="Berschrift11"/>
        <w:keepNext w:val="true"/>
        <w:keepLines/>
        <w:widowControl w:val="false"/>
        <w:numPr>
          <w:ilvl w:val="0"/>
          <w:numId w:val="37"/>
        </w:numPr>
        <w:shd w:val="clear" w:color="auto" w:fill="auto"/>
        <w:tabs>
          <w:tab w:val="clear" w:pos="720"/>
          <w:tab w:val="left" w:pos="457" w:leader="none"/>
        </w:tabs>
        <w:bidi w:val="0"/>
        <w:spacing w:lineRule="auto" w:line="240" w:before="0" w:after="380"/>
        <w:ind w:left="440" w:right="0" w:hanging="440"/>
        <w:jc w:val="left"/>
        <w:rPr/>
      </w:pPr>
      <w:bookmarkStart w:id="33" w:name="bookmark42"/>
      <w:bookmarkStart w:id="34" w:name="bookmark44"/>
      <w:bookmarkStart w:id="35" w:name="bookmark43"/>
      <w:r>
        <w:rPr>
          <w:spacing w:val="0"/>
          <w:w w:val="100"/>
          <w:shd w:fill="auto" w:val="clear"/>
          <w:lang w:val="en-US" w:eastAsia="en-US" w:bidi="en-US"/>
        </w:rPr>
        <w:t>Das geklärte Thema: 2. Das orthodoxe Modell und der unterstellte Vertrag</w:t>
      </w:r>
      <w:bookmarkEnd w:id="33"/>
      <w:bookmarkEnd w:id="34"/>
      <w:bookmarkEnd w:id="35"/>
    </w:p>
    <w:p>
      <w:pPr>
        <w:pStyle w:val="Flietext1"/>
        <w:keepNext w:val="false"/>
        <w:keepLines w:val="false"/>
        <w:widowControl w:val="false"/>
        <w:shd w:val="clear" w:color="auto" w:fill="auto"/>
        <w:bidi w:val="0"/>
        <w:spacing w:lineRule="auto" w:line="259" w:before="0" w:after="260"/>
        <w:ind w:left="0" w:right="0" w:firstLine="320"/>
        <w:jc w:val="both"/>
        <w:rPr/>
      </w:pPr>
      <w:r>
        <w:rPr>
          <w:color w:val="000000"/>
          <w:spacing w:val="0"/>
          <w:w w:val="100"/>
          <w:shd w:fill="auto" w:val="clear"/>
          <w:lang w:val="en-US" w:eastAsia="en-US" w:bidi="en-US"/>
        </w:rPr>
        <w:t>Es gibt eine umfangreiche Bibliographie über Gesellschaftsverträge, sowohl über den Vertrag als allgemeines Mittel als auch über seine spezifischen Anhänger oder Kritiker. Der üblicherweise als paradigmatisch angenommene Syllogismus lautet wie folgt:</w:t>
      </w:r>
    </w:p>
    <w:p>
      <w:pPr>
        <w:pStyle w:val="Flietext1"/>
        <w:keepNext w:val="false"/>
        <w:keepLines w:val="false"/>
        <w:widowControl w:val="false"/>
        <w:shd w:val="clear" w:color="auto" w:fill="auto"/>
        <w:bidi w:val="0"/>
        <w:spacing w:before="0" w:after="120"/>
        <w:ind w:left="0" w:right="0" w:firstLine="320"/>
        <w:jc w:val="both"/>
        <w:rPr/>
      </w:pPr>
      <w:r>
        <w:rPr>
          <w:color w:val="000000"/>
          <w:spacing w:val="0"/>
          <w:w w:val="100"/>
          <w:shd w:fill="auto" w:val="clear"/>
          <w:lang w:val="en-US" w:eastAsia="en-US" w:bidi="en-US"/>
        </w:rPr>
        <w:t xml:space="preserve">• </w:t>
      </w:r>
      <w:r>
        <w:rPr>
          <w:color w:val="000000"/>
          <w:spacing w:val="0"/>
          <w:w w:val="100"/>
          <w:shd w:fill="auto" w:val="clear"/>
          <w:lang w:val="en-US" w:eastAsia="en-US" w:bidi="en-US"/>
        </w:rPr>
        <w:t>A. Ein Mann kann nur durch seine eigene Zustimmung gebunden werden</w:t>
      </w:r>
    </w:p>
    <w:p>
      <w:pPr>
        <w:pStyle w:val="Flietext1"/>
        <w:keepNext w:val="false"/>
        <w:keepLines w:val="false"/>
        <w:widowControl w:val="false"/>
        <w:shd w:val="clear" w:color="auto" w:fill="auto"/>
        <w:bidi w:val="0"/>
        <w:spacing w:before="0" w:after="120"/>
        <w:ind w:left="0" w:right="0" w:firstLine="320"/>
        <w:jc w:val="both"/>
        <w:rPr/>
      </w:pPr>
      <w:r>
        <w:rPr>
          <w:color w:val="000000"/>
          <w:spacing w:val="0"/>
          <w:w w:val="100"/>
          <w:shd w:fill="auto" w:val="clear"/>
          <w:lang w:val="en-US" w:eastAsia="en-US" w:bidi="en-US"/>
        </w:rPr>
        <w:t xml:space="preserve">• </w:t>
      </w:r>
      <w:r>
        <w:rPr>
          <w:color w:val="000000"/>
          <w:spacing w:val="0"/>
          <w:w w:val="100"/>
          <w:shd w:fill="auto" w:val="clear"/>
          <w:lang w:val="en-US" w:eastAsia="en-US" w:bidi="en-US"/>
        </w:rPr>
        <w:t>B. (Dieser) Mann hat eingewilligt</w:t>
      </w:r>
    </w:p>
    <w:p>
      <w:pPr>
        <w:pStyle w:val="Flietext1"/>
        <w:keepNext w:val="false"/>
        <w:keepLines w:val="false"/>
        <w:widowControl w:val="false"/>
        <w:shd w:val="clear" w:color="auto" w:fill="auto"/>
        <w:bidi w:val="0"/>
        <w:spacing w:before="0" w:after="120"/>
        <w:ind w:left="0" w:right="0" w:firstLine="320"/>
        <w:jc w:val="both"/>
        <w:rPr/>
      </w:pPr>
      <w:r>
        <w:rPr>
          <w:color w:val="000000"/>
          <w:spacing w:val="0"/>
          <w:w w:val="100"/>
          <w:shd w:fill="auto" w:val="clear"/>
          <w:lang w:val="en-US" w:eastAsia="en-US" w:bidi="en-US"/>
        </w:rPr>
        <w:t xml:space="preserve">• </w:t>
      </w:r>
      <w:r>
        <w:rPr>
          <w:color w:val="000000"/>
          <w:spacing w:val="0"/>
          <w:w w:val="100"/>
          <w:shd w:fill="auto" w:val="clear"/>
          <w:lang w:val="en-US" w:eastAsia="en-US" w:bidi="en-US"/>
        </w:rPr>
        <w:t>C. Daher ist dieser Mann verpflichtet zu gehorchen</w:t>
      </w:r>
    </w:p>
    <w:p>
      <w:pPr>
        <w:pStyle w:val="Flietext1"/>
        <w:keepNext w:val="false"/>
        <w:keepLines w:val="false"/>
        <w:widowControl w:val="false"/>
        <w:shd w:val="clear" w:color="auto" w:fill="auto"/>
        <w:bidi w:val="0"/>
        <w:spacing w:before="0" w:after="0"/>
        <w:ind w:left="0" w:right="0" w:hanging="0"/>
        <w:jc w:val="both"/>
        <w:rPr/>
      </w:pPr>
      <w:r>
        <w:rPr>
          <w:color w:val="000000"/>
          <w:spacing w:val="0"/>
          <w:w w:val="100"/>
          <w:shd w:fill="auto" w:val="clear"/>
          <w:lang w:val="en-US" w:eastAsia="en-US" w:bidi="en-US"/>
        </w:rPr>
        <w:t>Die analytische Strenge dieses Syllogismus bezieht sich auf den zweiten Begriff – die Frage, warum wir sagen können, dass ein Mann eingewilligt hat, wobei diese Frage normalerweise auf die Suche nach einem tatsächlich isolierbaren Akt der Einwilligung gerichtet ist. Bei der Erörterung von Hobbes stellen wir seine Vorstellung in Frage, dass ein unter Zwang geschlossener Vertrag dennoch bindend ist. Bei der Behandlung von Locke sehen wir entweder unsere angemessene Pflicht darin, die historische Analyse eines unveränderlichen Vertrags (à la Lamprecht) zu sein,568 oder betonen die fortlaufende Natur der Zustimmung durch einen sehr formellen Prozess der „meisten Zustimmungen“, leiten wir ab eine Schlussfolgerung des unbegrenzten Majoritarismus (à la Kendall)569 – beide tun natürlich Lockes Stimmung und Absicht Gewalt an. Im Fall von Rousseau führte die Schwierigkeit, einen solchen Syllogismus anzuwenden – das heißt, die Schwierigkeit, einen bestimmten Zustimmungsakt aus seiner Theorie zu extrahieren – zu dem vorläufigen Schluss, dass er überhaupt kein Kontraktualist war.</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Die quasi-historische Annäherung an die Vertragslogik, der Versuch, einen konkreten Zustimmungsakt zu isolieren, führt zu der üblichen und sehr offensichtlichen Kritik am Kontraktarismus als solchem ​​– nämlich der Frage, wie und wann ein Mann etwas haben könnte zugestimmt hat, und was für ein Wesen es ist, das zustimmt. So Bentham: „Locke hatte so tief spekuliert und so genial argumentiert, dass er vergessen hatte, dass er noch nicht volljährig war, als er auf die Welt kam.“568 Und ähnlich de Jouvenel: „‚Gesellschaftsvertrags‘-Theorien sind Ansichten von kinderlose Männer, die ihre eigene Kindheit vergessen haben müssen.“569 Genauer gesagt richtet sich der Einwand gegen den liberalen Mythos des autonomen, nicht sozialisierten Individuums, das als vollwertiger moralischer Akteur in den Gesellschaftsvertrag eintritt. Es ist schwierig, sich der Tatsache zu entziehen, dass die meisten Mitglieder570 einer Gesellschaft als Säuglinge in diese Gesellschaft eintreten und für einen ausgedehnten Zeitraum, einschließlich der prägendsten und einflussreichsten Jahre der Entwicklung, ihrem Einfluss ausgesetzt sind, bevor sie zur Vollmitgliedschaft zugelassen werden. Freie Wahl und Zustimmung mag es geben, aber bestenfalls ist es eine geführte und strukturierte Wahl; nicht nur die Entscheidungen selbst werden geformt, sondern auch das Individuum, das wählt, wird geformt. Die Tatsache, dass ein Individuum tatsächlich in das System sozialisiert ist, muss der Behauptung, dass es sich in diese Gesellschaft hineinzieht, eine metaphorische Wahrheit nicht ausschließen, aber: Erstens ist es offensichtlich, dass die angeblich vertragliche Natur dieser Beziehung in hinreichendem Widerspruch zu offensichtlichen Tatsachen steht dass ihre metaphorische Wahrheit gerechtfertigt werden muss (sie kann nicht einfach selbstverständlich sein); und zweitens, zuzugeben, dass es nur metaphorisch ist, bedeutet, seine Wirkung und Macht zu verringern. Die mit einem Gesellschaftsvertrag verbundene Zustimmung wird in dieser Form nur zu einer starken und energischen Wiederholung von etwas, das eigentlich eher schwächer ist, ein Prozess, der in Seligers Locke-Interpretation gut herausgearbeitet wird – wir können sagen, dass ein Volk „zustimmt“, wenn es das nicht ist tatsächlich in einer bewaffneten Revolte.436 437 438 439 440 571 Das schien nicht mehr das zu sein, was wir meinten, als wir kühn erklärten, dass die Regierung auf der freien Zustimmung ihrer Untertanen und Mitglieder beruhte. Der Syllogismus, der so mit dem Konflikt zwischen der Metapher der Zustimmung und der Tatsache der Sozialisierung konfrontiert ist, löst das Problem, indem er die Zustimmung auf einen mythischen oder metaphorischen Akt reduziert; und eine Gesellschaftsvertragstheorie, die versucht, den Zusammenstoß zu ignorieren, macht sich selbst zum Mythos. Für diesen zweiten Kurs ist der Witz perfekt – die Gesellschaftsvertragstheorie ist die Sichtweise eines Mannes, der seine eigene Kindheit vergessen hat. Da dieser zweite Weg den Vertragsparteien oft unterstellt wird, erscheint die Spitzfindigkeit oft im Deckmantel der Widerlegung, und das Gesellschaftsvertragsmodell wird eher leichtfertig und leichtfertig abgeschrieben.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vertAlign w:val="superscript"/>
          <w:lang w:val="en-US" w:eastAsia="en-US" w:bidi="en-US"/>
        </w:rPr>
        <w:t>Die in diesen ersten beiden Effekten enthaltene Reduktion wird in den dritten übertragen. Angesichts dieser doppelten Probleme wird der Kontraktualismus – sei es die Interpretation eines Klassikers oder der Versuch, einen neuen zu schreiben – nur noch zu einem blassen Schatten seines früheren robusten Selbst. Der Proto-Vertrag von Sokrates und Rawls ist ein hervorragendes Beispiel. Verzweifelt nach einer Handlung, um die Bedingungen des zweiten Glieds des Syllogismus zu erfüllen, und verzweifelt an einer starken positiven Handlung, die auf eine substanzielle, selbstbewusste Zustimmung hinweist, entscheiden sie sich stattdessen für den Erhalt eines Vorteils, einer viel schwächeren und passiveren Art von Aktivität. Somit reduziert sich die Zustimmungspflicht auf die Dankbarkeitspflicht – man ist nicht gebunden, weil man in irgendeiner starken oder unmittelbaren Bedeutung des Begriffs eingewilligt hat, sondern weil man Vorteile im Rahmen des Systems angenommen hat. Aber an diesem Punkt wird das Wort „Zustimmung“ – wenn nicht betrügerisch, dann doch zumindest ernsthaft irreführend als Beschreibung dessen, worum es geht, und Hanna Pitkins gequälter und ziemlich wütender Schrei wird am treffendsten – warum all die Aufregung darüber, dass jeder freiwillig zustimmt wenn am Ende sowieso alle gebunden sind?442</w:t>
      </w:r>
    </w:p>
    <w:p>
      <w:pPr>
        <w:pStyle w:val="Flietext1"/>
        <w:keepNext w:val="false"/>
        <w:keepLines w:val="false"/>
        <w:widowControl w:val="false"/>
        <w:shd w:val="clear" w:color="auto" w:fill="auto"/>
        <w:bidi w:val="0"/>
        <w:spacing w:before="0" w:after="280"/>
        <w:ind w:left="0" w:right="0" w:hanging="0"/>
        <w:jc w:val="both"/>
        <w:rPr/>
      </w:pPr>
      <w:r>
        <w:rPr>
          <w:color w:val="000000"/>
          <w:spacing w:val="0"/>
          <w:w w:val="100"/>
          <w:shd w:fill="auto" w:val="clear"/>
          <w:lang w:val="en-US" w:eastAsia="en-US" w:bidi="en-US"/>
        </w:rPr>
        <w:t>Dies sind also die Engpässe, auf die der traditionelle Syllogismus den Kontraktualismus reduziert hat. Erstens gibt es die Mühe, Hobbes, Locke, Rousseau und die anderen Vertragsparteien in das Prokrustes-Bett einzupassen. Nur Locke lässt genügend Mehrdeutigkeit und Verwirrung zu, um ohne allzu großen Aufwand zu passen; daher wird nur Locke selbstbewusst aufgenommen, und Hobbes und Rousseau werden typischerweise als „außerhalb des Mainstreams“ des Gesellschaftsvertragsdenkens abgetan,443 als atypische oder merkwürdige Abweichungen. Viele der Vertragspartner, so müssen wir schließen, waren überhaupt keine Vertragspartner. Zweitens stellt das Problem, den Gesellschaftsvertrag mit der Tatsache der Sozialisation in Einklang zu bringen (in diesem Ansatz ähnlich wie die Legende vom Untergang in die Evolutionstheorie), die Gesellschaftsvertragstheorie vor eine schmerzhafte Wahl – entweder das gesamte Soziale zu reduzieren die Theorie auf den Status einer nützlichen Mythologie zurückziehen und nur eine allgemeine Lektion über treuhänderische Befugnisse ableiten; oder den Begriff „Zustimmung“ selbst auf einen sehr verkürzten oder mythischen Status reduzieren. Dies führt wiederum zum dritten Problem, das so interpretiert wird, die Gesellschaftsvertragstheorie wird schwach und verstümmelt, ihre Terminologie gezwungen und schwach, ihre Anhänger werden zu „Polonaises der Politik“444, ihre Wahrheiten werden zu Behauptungen des gesunden Menschenverstands, die keiner strengen Beweise fähig sind, ihre Verfechter werden widersprüchlich und konfus, und es ist schwer einzusehen, warum die Gesellschaftsvertragstheorie als seriös, geschweige denn intellektuell bedeutsam angesehen wird.445 Kein Wunder, dass eine Theorie, die so von Interpretationen durchdrungen ist, unbekümmert abgetan wird – wie von Pollock.446 ( Diese Ablehnung ist merkwürdig, da Pollock selbst sehr nahe daran ist, eine Theorie der unterstellten Zustimmung auf die Vertragspartner anzuwenden: „da der ursprüngliche Vertrag im Allgemeinen keine historische Existenz hatte (wie auch immer der Einfallsreichtum der Dialektik danach streben könnte, dies zu verschleiern), konnten seine Bedingungen nicht existieren als Tatsache bewiesen. Sie konnten daher nur vermutet werden, was sie hätten sein sollen; und was sie hätten sein sollen, war eminent eine Frage des Naturrechts.“447 Im zeitgenössischen Argot – „Rechts weiter“. Er besteht jedoch darauf, dass die Gesellschaftsvertragstheorie durch Humes Einwände gegen die Historizität auf Unsinn reduziert wurde, eine Frage, die er selbst bereits als zweitrangig empfunden hat.) Basierend auf dem traditionellen Syllogismus muss der Sozialvertragarismus kaum widerlegt werden; es fällt praktisch durch sein eigenes Gewicht.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21"/>
        <w:keepNext w:val="false"/>
        <w:keepLines w:val="false"/>
        <w:widowControl w:val="false"/>
        <w:numPr>
          <w:ilvl w:val="0"/>
          <w:numId w:val="38"/>
        </w:numPr>
        <w:shd w:val="clear" w:color="auto" w:fill="auto"/>
        <w:tabs>
          <w:tab w:val="clear" w:pos="720"/>
          <w:tab w:val="left" w:pos="657" w:leader="none"/>
        </w:tabs>
        <w:bidi w:val="0"/>
        <w:spacing w:lineRule="auto" w:line="213" w:before="0" w:after="0"/>
        <w:ind w:left="0" w:right="0" w:firstLine="280"/>
        <w:jc w:val="both"/>
        <w:rPr/>
      </w:pPr>
      <w:r>
        <w:rPr>
          <w:color w:val="000000"/>
          <w:spacing w:val="0"/>
          <w:w w:val="100"/>
          <w:shd w:fill="auto" w:val="clear"/>
          <w:lang w:val="en-US" w:eastAsia="en-US" w:bidi="en-US"/>
        </w:rPr>
        <w:t>Seliger, The Liberal Politics of John Locke (London: George Allen &amp; Unwin Ltd., 1968), p. 398.</w:t>
      </w:r>
    </w:p>
    <w:p>
      <w:pPr>
        <w:pStyle w:val="Flietext21"/>
        <w:keepNext w:val="false"/>
        <w:keepLines w:val="false"/>
        <w:widowControl w:val="false"/>
        <w:numPr>
          <w:ilvl w:val="0"/>
          <w:numId w:val="38"/>
        </w:numPr>
        <w:shd w:val="clear" w:color="auto" w:fill="auto"/>
        <w:tabs>
          <w:tab w:val="clear" w:pos="720"/>
          <w:tab w:val="left" w:pos="657" w:leader="none"/>
        </w:tabs>
        <w:bidi w:val="0"/>
        <w:spacing w:lineRule="auto" w:line="213" w:before="0" w:after="0"/>
        <w:ind w:left="0" w:right="0" w:firstLine="280"/>
        <w:jc w:val="both"/>
        <w:rPr/>
      </w:pPr>
      <w:r>
        <w:rPr>
          <w:color w:val="000000"/>
          <w:spacing w:val="0"/>
          <w:w w:val="100"/>
          <w:shd w:fill="auto" w:val="clear"/>
          <w:lang w:val="en-US" w:eastAsia="en-US" w:bidi="en-US"/>
        </w:rPr>
        <w:t>Hanna Pitkin, „Obligation and Consent – ​​I“, in The American Political Science Review, Bd. LIX, Nr. 4 (Dezember 1965), p. 997.</w:t>
      </w:r>
    </w:p>
    <w:p>
      <w:pPr>
        <w:pStyle w:val="Flietext21"/>
        <w:keepNext w:val="false"/>
        <w:keepLines w:val="false"/>
        <w:widowControl w:val="false"/>
        <w:numPr>
          <w:ilvl w:val="0"/>
          <w:numId w:val="38"/>
        </w:numPr>
        <w:shd w:val="clear" w:color="auto" w:fill="auto"/>
        <w:tabs>
          <w:tab w:val="clear" w:pos="720"/>
          <w:tab w:val="left" w:pos="711" w:leader="none"/>
        </w:tabs>
        <w:bidi w:val="0"/>
        <w:spacing w:lineRule="auto" w:line="189" w:before="0" w:after="0"/>
        <w:ind w:left="0" w:right="0" w:firstLine="280"/>
        <w:jc w:val="both"/>
        <w:rPr/>
      </w:pPr>
      <w:r>
        <w:rPr>
          <w:i/>
          <w:iCs/>
          <w:color w:val="000000"/>
          <w:spacing w:val="0"/>
          <w:w w:val="100"/>
          <w:shd w:fill="auto" w:val="clear"/>
          <w:lang w:val="en-US" w:eastAsia="en-US" w:bidi="en-US"/>
        </w:rPr>
        <w:t>Gough, Der Gesellschaftsvertrag.</w:t>
      </w:r>
    </w:p>
    <w:p>
      <w:pPr>
        <w:pStyle w:val="Flietext21"/>
        <w:keepNext w:val="false"/>
        <w:keepLines w:val="false"/>
        <w:widowControl w:val="false"/>
        <w:numPr>
          <w:ilvl w:val="0"/>
          <w:numId w:val="38"/>
        </w:numPr>
        <w:shd w:val="clear" w:color="auto" w:fill="auto"/>
        <w:tabs>
          <w:tab w:val="clear" w:pos="720"/>
          <w:tab w:val="left" w:pos="671" w:leader="none"/>
        </w:tabs>
        <w:bidi w:val="0"/>
        <w:spacing w:lineRule="auto" w:line="189" w:before="0" w:after="0"/>
        <w:ind w:left="0" w:right="0" w:firstLine="240"/>
        <w:jc w:val="left"/>
        <w:rPr/>
      </w:pPr>
      <w:r>
        <w:rPr>
          <w:i/>
          <w:iCs/>
          <w:color w:val="000000"/>
          <w:spacing w:val="0"/>
          <w:w w:val="100"/>
          <w:shd w:fill="auto" w:val="clear"/>
          <w:lang w:val="en-US" w:eastAsia="en-US" w:bidi="en-US"/>
        </w:rPr>
        <w:t>Der Satz stammt aus Dunn, The Political Thought of John Locke.</w:t>
      </w:r>
    </w:p>
    <w:p>
      <w:pPr>
        <w:pStyle w:val="Flietext21"/>
        <w:keepNext w:val="false"/>
        <w:keepLines w:val="false"/>
        <w:widowControl w:val="false"/>
        <w:numPr>
          <w:ilvl w:val="0"/>
          <w:numId w:val="38"/>
        </w:numPr>
        <w:shd w:val="clear" w:color="auto" w:fill="auto"/>
        <w:tabs>
          <w:tab w:val="clear" w:pos="720"/>
          <w:tab w:val="left" w:pos="657" w:leader="none"/>
        </w:tabs>
        <w:bidi w:val="0"/>
        <w:spacing w:before="0" w:after="0"/>
        <w:ind w:left="0" w:right="0" w:firstLine="280"/>
        <w:jc w:val="both"/>
        <w:rPr/>
      </w:pPr>
      <w:r>
        <w:rPr>
          <w:color w:val="000000"/>
          <w:spacing w:val="0"/>
          <w:w w:val="100"/>
          <w:shd w:fill="auto" w:val="clear"/>
          <w:lang w:val="en-US" w:eastAsia="en-US" w:bidi="en-US"/>
        </w:rPr>
        <w:t>wie Galbraith warnt: „Die Menschen einer Zeit als besonders stumpfsinnig zu betrachten, scheint vage unangemessen, und es hat auch einen Präzedenzfall geschaffen, den Mitglieder dieser Generation möglicherweise bereuen.“ vgl. John Kenneth Galbraith, The Great Crash&gt; (London: Hamish Hamilton, 1955), p. 164.</w:t>
      </w:r>
    </w:p>
    <w:p>
      <w:pPr>
        <w:pStyle w:val="Flietext21"/>
        <w:keepNext w:val="false"/>
        <w:keepLines w:val="false"/>
        <w:widowControl w:val="false"/>
        <w:shd w:val="clear" w:color="auto" w:fill="auto"/>
        <w:bidi w:val="0"/>
        <w:spacing w:lineRule="auto" w:line="213" w:before="0" w:after="200"/>
        <w:ind w:left="0" w:right="0" w:firstLine="280"/>
        <w:jc w:val="both"/>
        <w:rPr/>
      </w:pPr>
      <w:r>
        <w:rPr>
          <w:color w:val="000000"/>
          <w:spacing w:val="0"/>
          <w:w w:val="100"/>
          <w:shd w:fill="auto" w:val="clear"/>
          <w:lang w:val="en-US" w:eastAsia="en-US" w:bidi="en-US"/>
        </w:rPr>
        <w:t>445 Sir Frederick Pollock, Essays in the Law (Hamden, Connecticut: Archon Books, 1969) (Erstveröffentlichung 1922).</w:t>
      </w:r>
    </w:p>
    <w:p>
      <w:pPr>
        <w:pStyle w:val="Flietext1"/>
        <w:keepNext w:val="false"/>
        <w:keepLines w:val="false"/>
        <w:widowControl w:val="false"/>
        <w:shd w:val="clear" w:color="auto" w:fill="auto"/>
        <w:bidi w:val="0"/>
        <w:spacing w:before="0" w:after="280"/>
        <w:ind w:left="0" w:right="0" w:firstLine="280"/>
        <w:jc w:val="both"/>
        <w:rPr/>
      </w:pPr>
      <w:r>
        <w:rPr>
          <w:color w:val="000000"/>
          <w:spacing w:val="0"/>
          <w:w w:val="100"/>
          <w:shd w:fill="auto" w:val="clear"/>
          <w:lang w:val="en-US" w:eastAsia="en-US" w:bidi="en-US"/>
        </w:rPr>
        <w:t>Was hier argumentiert wird, ist, dass der traditionelle Syllogismus die Debatte nicht erschöpfen muss, und, was noch überzeugender ist, dass er zumindest auf eine Reihe von Denkern, die normalerweise als Kontraktualisten bezeichnet werden, falsch angewendet wird. Alternativ kann man einen Vertrag auf der Grundlage einer unterstellten Zustimmung vorschlagen, für den der folgende Syllogismus paradigmatisch ist:</w:t>
      </w:r>
    </w:p>
    <w:p>
      <w:pPr>
        <w:pStyle w:val="Flietext1"/>
        <w:keepNext w:val="false"/>
        <w:keepLines w:val="false"/>
        <w:widowControl w:val="false"/>
        <w:shd w:val="clear" w:color="auto" w:fill="auto"/>
        <w:bidi w:val="0"/>
        <w:spacing w:before="0" w:after="120"/>
        <w:ind w:left="0" w:right="0" w:firstLine="280"/>
        <w:jc w:val="both"/>
        <w:rPr/>
      </w:pPr>
      <w:r>
        <w:rPr>
          <w:color w:val="000000"/>
          <w:spacing w:val="0"/>
          <w:w w:val="100"/>
          <w:shd w:fill="auto" w:val="clear"/>
          <w:lang w:val="en-US" w:eastAsia="en-US" w:bidi="en-US"/>
        </w:rPr>
        <w:t xml:space="preserve">• </w:t>
      </w:r>
      <w:r>
        <w:rPr>
          <w:color w:val="000000"/>
          <w:spacing w:val="0"/>
          <w:w w:val="100"/>
          <w:shd w:fill="auto" w:val="clear"/>
          <w:lang w:val="en-US" w:eastAsia="en-US" w:bidi="en-US"/>
        </w:rPr>
        <w:t>A. Ein Mann kann nur durch seine eigene Zustimmung gebunden werden</w:t>
      </w:r>
    </w:p>
    <w:p>
      <w:pPr>
        <w:pStyle w:val="Flietext1"/>
        <w:keepNext w:val="false"/>
        <w:keepLines w:val="false"/>
        <w:widowControl w:val="false"/>
        <w:shd w:val="clear" w:color="auto" w:fill="auto"/>
        <w:bidi w:val="0"/>
        <w:spacing w:before="0" w:after="120"/>
        <w:ind w:left="0" w:right="0" w:firstLine="280"/>
        <w:jc w:val="both"/>
        <w:rPr/>
      </w:pPr>
      <w:r>
        <w:rPr>
          <w:color w:val="000000"/>
          <w:spacing w:val="0"/>
          <w:w w:val="100"/>
          <w:shd w:fill="auto" w:val="clear"/>
          <w:lang w:val="en-US" w:eastAsia="en-US" w:bidi="en-US"/>
        </w:rPr>
        <w:t xml:space="preserve">• </w:t>
      </w:r>
      <w:r>
        <w:rPr>
          <w:color w:val="000000"/>
          <w:spacing w:val="0"/>
          <w:w w:val="100"/>
          <w:shd w:fill="auto" w:val="clear"/>
          <w:lang w:val="en-US" w:eastAsia="en-US" w:bidi="en-US"/>
        </w:rPr>
        <w:t>B. Sozialform X ist so, dass wir wissen, dass ein Mann verpflichtet ist</w:t>
      </w:r>
    </w:p>
    <w:p>
      <w:pPr>
        <w:pStyle w:val="Flietext1"/>
        <w:keepNext w:val="false"/>
        <w:keepLines w:val="false"/>
        <w:widowControl w:val="false"/>
        <w:shd w:val="clear" w:color="auto" w:fill="auto"/>
        <w:bidi w:val="0"/>
        <w:spacing w:before="0" w:after="120"/>
        <w:ind w:left="0" w:right="0" w:firstLine="280"/>
        <w:jc w:val="both"/>
        <w:rPr/>
      </w:pPr>
      <w:r>
        <w:rPr>
          <w:color w:val="000000"/>
          <w:spacing w:val="0"/>
          <w:w w:val="100"/>
          <w:shd w:fill="auto" w:val="clear"/>
          <w:lang w:val="en-US" w:eastAsia="en-US" w:bidi="en-US"/>
        </w:rPr>
        <w:t xml:space="preserve">• </w:t>
      </w:r>
      <w:r>
        <w:rPr>
          <w:color w:val="000000"/>
          <w:spacing w:val="0"/>
          <w:w w:val="100"/>
          <w:shd w:fill="auto" w:val="clear"/>
          <w:lang w:val="en-US" w:eastAsia="en-US" w:bidi="en-US"/>
        </w:rPr>
        <w:t>C. Er muss also eingewilligt haben</w:t>
      </w:r>
    </w:p>
    <w:p>
      <w:pPr>
        <w:pStyle w:val="Flietext1"/>
        <w:keepNext w:val="false"/>
        <w:keepLines w:val="false"/>
        <w:widowControl w:val="false"/>
        <w:shd w:val="clear" w:color="auto" w:fill="auto"/>
        <w:bidi w:val="0"/>
        <w:spacing w:lineRule="auto" w:line="259" w:before="0" w:after="260"/>
        <w:ind w:left="0" w:right="0" w:hanging="0"/>
        <w:jc w:val="both"/>
        <w:rPr/>
      </w:pPr>
      <w:r>
        <w:rPr>
          <w:color w:val="000000"/>
          <w:spacing w:val="0"/>
          <w:w w:val="100"/>
          <w:shd w:fill="auto" w:val="clear"/>
          <w:lang w:val="en-US" w:eastAsia="en-US" w:bidi="en-US"/>
        </w:rPr>
        <w:t>Dies ist nicht nur eine geringfügige Neuformulierung, sondern eine Transformation der Untersuchung dahingehend, dass die Strenge der Analyse wieder auf den zweiten Begriff des Arguments fällt. Der erste Begriff, der beiden Formen gemeinsam ist, ist eine individualistische Prämisse, ohne die soziales Vertragsdenken einfach sinnlos gewesen wäre. In diesem Fall führt die Untersuchung des zweiten Begriffs jedoch nicht zu einer legalistischen und quasi-historischen Studie, sondern zu einer Untersuchung der Natur der betreffenden Gesellschaft, gemessen an einem universellen und ahistorischen Ideal. Bietet es individuelle Sicherheit? (Hobbes) Schützt es Naturrechte? (Locke) Ist es auf das Gemeinwohl einer wahren Gemeinschaft ausgerichtet? (Rousseau) Dies sind die Fragen, auf die die Philosophen ihre Aufmerksamkeit richten, und die Strenge (wie auch immer sie sein mag) ihrer Analyse. Dies ist der Punkt, auf den sie sich am stärksten stützen; Im Vergleich dazu ist ihre Sorge um den eigentlichen Zustimmungsakt oberflächlich und zweitrangig. Hobbes kümmert sich nie darum; sein Vertrag ist hypothetisch (es spielt einfach keine Rolle, dass die meisten Staaten nicht auf diese Weise gebildet wurden), aber dennoch absolut bindend – die unterstellte Natur seines Vertrags ist klar. Locke gibt vor oder versucht, es direkt anzugreifen, aber seine scheinbare Lösung ist so schwach, dass es ihm in die Hände zerbricht – die stillschweigende Zustimmung wird so weit gefasst, dass sie die eigentliche Bedeutung der Zustimmung zerstört. Das Scheitern ist jedoch ohne Bedeutung, die ganze Frage ist nur eine Nebensache. Weitaus wichtiger als die Ursprünge einer Gesellschaft (die, wie er zugibt, im Nebel der Vorgeschichte verborgen sein mögen) ist die Natur dieser Gesellschaft. Die Einwilligung ergibt sich aus der Legitimität der Gesellschaft (hinsichtlich ihres Schutzes der Naturrechte), nicht umgekehrt. Rousseau geht noch lockerer mit der ganzen Sache um und sagt uns nirgendwo, wie man zustimmt, Mitglied einer Gemeinschaft zu sein, sondern betont stark die Auswirkungen einer solchen Mitgliedschaft. Auch hier ist die naheliegendste Schlussfolgerung, dass die Zustimmung eine zugerechnete ist – die Folgen der Mitgliedschaft in einem rechtmäßigen Staat, so wie sie sind, kann man nur akzeptieren.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21"/>
        <w:keepNext w:val="false"/>
        <w:keepLines w:val="false"/>
        <w:widowControl w:val="false"/>
        <w:numPr>
          <w:ilvl w:val="0"/>
          <w:numId w:val="39"/>
        </w:numPr>
        <w:shd w:val="clear" w:color="auto" w:fill="auto"/>
        <w:tabs>
          <w:tab w:val="clear" w:pos="720"/>
          <w:tab w:val="left" w:pos="639" w:leader="none"/>
        </w:tabs>
        <w:bidi w:val="0"/>
        <w:spacing w:lineRule="auto" w:line="240" w:before="0" w:after="200"/>
        <w:ind w:left="0" w:right="0" w:firstLine="240"/>
        <w:jc w:val="left"/>
        <w:rPr/>
      </w:pPr>
      <w:r>
        <w:rPr>
          <w:color w:val="000000"/>
          <w:spacing w:val="0"/>
          <w:w w:val="100"/>
          <w:shd w:fill="auto" w:val="clear"/>
          <w:lang w:val="en-US" w:eastAsia="en-US" w:bidi="en-US"/>
        </w:rPr>
        <w:t>Pollock, op. cit., p. 49.</w:t>
      </w:r>
    </w:p>
    <w:p>
      <w:pPr>
        <w:pStyle w:val="Flietext1"/>
        <w:keepNext w:val="false"/>
        <w:keepLines w:val="false"/>
        <w:widowControl w:val="false"/>
        <w:shd w:val="clear" w:color="auto" w:fill="auto"/>
        <w:bidi w:val="0"/>
        <w:spacing w:before="0" w:after="300"/>
        <w:ind w:left="0" w:right="0" w:firstLine="280"/>
        <w:jc w:val="both"/>
        <w:rPr/>
      </w:pPr>
      <w:r>
        <w:rPr>
          <w:color w:val="000000"/>
          <w:spacing w:val="0"/>
          <w:w w:val="100"/>
          <w:shd w:fill="auto" w:val="clear"/>
          <w:lang w:val="en-US" w:eastAsia="en-US" w:bidi="en-US"/>
        </w:rPr>
        <w:t>Diese Lektüre dieser Gesellschaftsvertragsdenker führt zu einer tiefgreifenden Modifikation der gegen solche Theorien gerichteten Standardkritik. Tatsächlich müssen „Widerlegungen“ des Gesellschaftsvertrags nicht einmal mehr beantwortet werden – sie gleiten einfach am Argument vorbei, ohne sich darauf einzulassen. Canavan bemängelt, dass das Gerät im Wesentlichen rückwärtsgewandt ist,448 aber seine Beschwerde bezieht sich nicht auf das Gerät als solches, sondern nur auf bestimmte Verwendungen davon – es trifft bis zu einem gewissen Grad auf Locke zu, aber weniger auf Hobbes und vor allem nicht auf Rousseau . Lamprecht schlägt vor, dass es sich um eine legalistische Prüfung eines historischen Vertrags handelt449, und Pitkin meint, dass es die Untersuchung auf sich selbst (habe ich zugestimmt? Wozu habe ich zugestimmt?) oder Nachbarn (hat eine Mehrheit von ihnen zugestimmt?) statt gegen gelenkt die fragliche spezifische Regierungshandlung;450 im Gegensatz zum traditionellen Syllogismus werden diese Kritiken einfach irrelevant. Der Schlüsselpunkt des unterstellten Vertrags ist seine ahistorische Natur; es ist kein isoliertes historisches Ereignis, sondern etwas, das immer dann passiert, wenn ein informierter Mann seine Vernunft auf das Problem anwendet. Charvet, der wissen will, was wir aus der Untersuchung der imaginären Entscheidungen vorsozialer Individuen Interessantes über Männer in der Gesellschaft lernen können, hat einfach die ganze Funktion des Geräts verfehlt auf Verlangen widerrufbar sind, sind für den unterstellten Vertrag ebenso irrelevant wie Bentham572 und de Jouvenel456 mit ihrem spöttischen Grinsen, dass Vertragsparteien vergessen, dass sie Kinder waren. Der unterstellte Vertrag hat seiner Natur nach nur einen ahistorisch anwendbaren Inhalt, und weil dieser eindeutig von der Vernunft diktiert ist, ist der willkürliche Widerruf der Einwilligung oder der unterschiedliche Sozialisationsprozess einzelner Personen völlig nebensächlich. Hobbes mag als Sensualist und Rousseau als Romantiker bezeichnet werden, aber ihre politischen Rezepte stützen sich letzten Endes sehr stark auf die menschliche Vernunftfähigkeit.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21"/>
        <w:keepNext w:val="false"/>
        <w:keepLines w:val="false"/>
        <w:widowControl w:val="false"/>
        <w:numPr>
          <w:ilvl w:val="0"/>
          <w:numId w:val="39"/>
        </w:numPr>
        <w:shd w:val="clear" w:color="auto" w:fill="auto"/>
        <w:tabs>
          <w:tab w:val="clear" w:pos="720"/>
          <w:tab w:val="left" w:pos="654" w:leader="none"/>
        </w:tabs>
        <w:bidi w:val="0"/>
        <w:spacing w:lineRule="auto" w:line="189" w:before="0" w:after="0"/>
        <w:ind w:left="0" w:right="0" w:firstLine="260"/>
        <w:jc w:val="left"/>
        <w:rPr/>
      </w:pPr>
      <w:r>
        <w:rPr>
          <w:i/>
          <w:iCs/>
          <w:color w:val="000000"/>
          <w:spacing w:val="0"/>
          <w:w w:val="100"/>
          <w:shd w:fill="auto" w:val="clear"/>
          <w:lang w:val="en-US" w:eastAsia="en-US" w:bidi="en-US"/>
        </w:rPr>
        <w:t>Canavan, Politicai Reason von Edmund Burke.</w:t>
      </w:r>
    </w:p>
    <w:p>
      <w:pPr>
        <w:pStyle w:val="Flietext21"/>
        <w:keepNext w:val="false"/>
        <w:keepLines w:val="false"/>
        <w:widowControl w:val="false"/>
        <w:numPr>
          <w:ilvl w:val="0"/>
          <w:numId w:val="39"/>
        </w:numPr>
        <w:shd w:val="clear" w:color="auto" w:fill="auto"/>
        <w:tabs>
          <w:tab w:val="clear" w:pos="720"/>
          <w:tab w:val="left" w:pos="654" w:leader="none"/>
        </w:tabs>
        <w:bidi w:val="0"/>
        <w:spacing w:lineRule="auto" w:line="189" w:before="0" w:after="0"/>
        <w:ind w:left="0" w:right="0" w:firstLine="260"/>
        <w:jc w:val="left"/>
        <w:rPr/>
      </w:pPr>
      <w:r>
        <w:rPr>
          <w:i/>
          <w:iCs/>
          <w:color w:val="000000"/>
          <w:spacing w:val="0"/>
          <w:w w:val="100"/>
          <w:shd w:fill="auto" w:val="clear"/>
          <w:lang w:val="en-US" w:eastAsia="en-US" w:bidi="en-US"/>
        </w:rPr>
        <w:t>Lamprecht, op. zitiert</w:t>
      </w:r>
    </w:p>
    <w:p>
      <w:pPr>
        <w:pStyle w:val="Flietext21"/>
        <w:keepNext w:val="false"/>
        <w:keepLines w:val="false"/>
        <w:widowControl w:val="false"/>
        <w:numPr>
          <w:ilvl w:val="0"/>
          <w:numId w:val="39"/>
        </w:numPr>
        <w:shd w:val="clear" w:color="auto" w:fill="auto"/>
        <w:tabs>
          <w:tab w:val="clear" w:pos="720"/>
          <w:tab w:val="left" w:pos="654" w:leader="none"/>
        </w:tabs>
        <w:bidi w:val="0"/>
        <w:spacing w:lineRule="auto" w:line="189" w:before="0" w:after="200"/>
        <w:ind w:left="0" w:right="0" w:firstLine="260"/>
        <w:jc w:val="left"/>
        <w:rPr/>
      </w:pPr>
      <w:r>
        <w:rPr>
          <w:i/>
          <w:iCs/>
          <w:color w:val="000000"/>
          <w:spacing w:val="0"/>
          <w:w w:val="100"/>
          <w:shd w:fill="auto" w:val="clear"/>
          <w:lang w:val="en-US" w:eastAsia="en-US" w:bidi="en-US"/>
        </w:rPr>
        <w:t>Lang, op. zit.</w:t>
      </w:r>
    </w:p>
    <w:p>
      <w:pPr>
        <w:pStyle w:val="Flietext1"/>
        <w:keepNext w:val="false"/>
        <w:keepLines w:val="false"/>
        <w:widowControl w:val="false"/>
        <w:shd w:val="clear" w:color="auto" w:fill="auto"/>
        <w:bidi w:val="0"/>
        <w:spacing w:before="0" w:after="200"/>
        <w:ind w:left="0" w:right="0" w:firstLine="260"/>
        <w:jc w:val="both"/>
        <w:rPr/>
      </w:pPr>
      <w:r>
        <w:rPr>
          <w:color w:val="000000"/>
          <w:spacing w:val="0"/>
          <w:w w:val="100"/>
          <w:shd w:fill="auto" w:val="clear"/>
          <w:lang w:val="en-US" w:eastAsia="en-US" w:bidi="en-US"/>
        </w:rPr>
        <w:t>Die Anwendung des orthodoxen Syllogismus, der zu einer Suche nach einem bestimmten Zustimmungsakt und nach dem spezifischen Inhalt und den Grenzen dieser Zustimmung führt, ist im schlimmsten Fall vergeblich und sinnlos und lenkt bestenfalls nur von den Fragen ab, die offensichtlich beschäftigt sind die drei fraglichen Philosophen – das heißt, die Natur der Gesellschaft, die die Treue, Loyalität und den Gehorsam des Menschen verdient, um nicht zu sagen fordert – das heißt, die Gesellschaft, der man zustimmen muss. Was angedeutet wird, ist, dass der Gesellschaftsvertrag bei richtiger Betrachtung nicht dazu führt, die Aufmerksamkeit von der Natur der Gesellschaft auf die individuelle Psyche oder die alte Geschichte zu lenken; Das falsch betrachtete Gesellschaftsvertragsgerät hat diese Wirkung, aber, um Shakespeare zu paraphrasieren, der Fehler liegt nicht in dem Gerät, sondern in uns selbst.</w:t>
      </w:r>
    </w:p>
    <w:p>
      <w:pPr>
        <w:pStyle w:val="Flietext21"/>
        <w:keepNext w:val="false"/>
        <w:keepLines w:val="false"/>
        <w:widowControl w:val="false"/>
        <w:numPr>
          <w:ilvl w:val="0"/>
          <w:numId w:val="40"/>
        </w:numPr>
        <w:shd w:val="clear" w:color="auto" w:fill="auto"/>
        <w:tabs>
          <w:tab w:val="clear" w:pos="720"/>
          <w:tab w:val="left" w:pos="639" w:leader="none"/>
        </w:tabs>
        <w:bidi w:val="0"/>
        <w:spacing w:lineRule="auto" w:line="189" w:before="0" w:after="200"/>
        <w:ind w:left="0" w:right="0" w:firstLine="240"/>
        <w:jc w:val="left"/>
        <w:rPr/>
      </w:pPr>
      <w:r>
        <w:rPr>
          <w:i/>
          <w:iCs/>
          <w:color w:val="000000"/>
          <w:spacing w:val="0"/>
          <w:w w:val="100"/>
          <w:shd w:fill="auto" w:val="clear"/>
          <w:lang w:val="en-US" w:eastAsia="en-US" w:bidi="en-US"/>
        </w:rPr>
        <w:t>de Jouvenel, op. zitiert</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Das soll nicht heißen, dass die drei – Hobbes, Locke und Rousseau – wirklich siamesische Drillinge sind, die nur die oberflächlichsten Unterschiede aufweisen. Weit davon entfernt; Die drei haben dasselbe Gerät für sehr unterschiedliche Zwecke verwendet. Die Suche nach direkter Zustimmung reduziert diese Unterschiede auf historische Kontingenz – wozu haben die Menschen tatsächlich zugestimmt oder tun dies? Wenn wir nach direkter Zustimmung suchen, dann kann eine einfache Nasenzählung einen der drei bestätigen und die anderen beiden in die äußere Dunkelheit werfen. Aber offensichtlich würden sich weder Hobbes noch Locke noch Rousseau durch eine Volksabstimmung der gesamten Bevölkerung widerlegt fühlen, die eine starke Präferenz für eine andere Regierungsform anzeigt (dies würde entweder auf ihre Dummheit oder ihre Korruption hinweisen), und diese Volksabstimmung würde sie nicht mehr stören, wenn sie eingeschlossen wäre jede nachfolgende Generation, seit unsere Vorfahren zum ersten Mal von den Bäumen herunterkamen. Genau diese Gleichgültigkeit sollte diejenigen warnen, die versuchen, in ihren Theorien Platz für direkte Zustimmungen zu schaffen. Diese drei Vertragsparteien sagen, dass die Gesellschaft den Menschen geben sollte, was sie wollen, aber dann sagen sie weiter, was die Menschen „wirklich“ wollen, und es ist dieser „wirkliche“ Wunsch, nicht ausgedrückte Wünsche oder Interessen, dem von der Regierung gedient werden soll , solche geäußerten Interessen werden bestenfalls sekundär und schlimmstenfalls illegitim und verlangen im Namen dieser „wirklichen Bedürfnisse“ nach Unterdrückung denn keiner der drei führte dazu. Für Rawls reduziert es sich natürlich darauf, was nur zeigt, wie weit er von dem unterstellten Vertragsmodell entfernt ist. Hobbes, Locke und Rousseau haben alle das Instrument des Gesellschaftsvertrags verwendet, und der Ansatz über die unterstellte Zustimmung ermöglicht es uns zu sehen, wie ähnlich sie es verwendet haben. Aber das Wichtigste ist, dass es nur ein Gerät ist; es bestimmte nicht unbedingt ihr Ziel (wenn es so gewesen wäre, wären alle drei zu identischen Schlussfolgerungen gekommen, und wir würden eine Münze werfen, um zu entscheiden, welche in einen Einführungskurs aufgenommen werden sollte), sondern diente lediglich dazu, sie dorthin zu bringen, wo sie bereits hinwollten. In diesem Fall wird die Aufmerksamkeit fehlgeleitet, wenn sie unter Ausschluss des Ziels ausschließlich auf das Gerät gerichtet wird – als ob wir aufgefordert würden, ein Haus zu kaufen, und unsere ganze Zeit damit verbringen würden, den vorderen Bürgersteig zu untersuchen.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1"/>
        <w:keepNext w:val="false"/>
        <w:keepLines w:val="false"/>
        <w:widowControl w:val="false"/>
        <w:shd w:val="clear" w:color="auto" w:fill="auto"/>
        <w:bidi w:val="0"/>
        <w:spacing w:before="0" w:after="260"/>
        <w:ind w:left="0" w:right="0" w:firstLine="320"/>
        <w:jc w:val="both"/>
        <w:rPr/>
      </w:pPr>
      <w:r>
        <w:rPr>
          <w:color w:val="000000"/>
          <w:spacing w:val="0"/>
          <w:w w:val="100"/>
          <w:shd w:fill="auto" w:val="clear"/>
          <w:lang w:val="en-US" w:eastAsia="en-US" w:bidi="en-US"/>
        </w:rPr>
        <w:t>Tatsächlich lenkt die Verschiebung vom unterstellten Vertrag zum orthodoxen Syllogismus den Fokus der Untersuchung vom Zweck auf die Mittel, vom Inhalt auf den Prozess. Pitkins Breitseite trifft genau aufs Ziel; der Schwerpunkt verschiebt sich dramatisch von dem, was getan wird, hin zu dem, wie es getan wird. Die Suche nach einem bestimmten Zustimmungsakt als präventives Nachfragen verwandelt die Gesellschaftsvertragstheorie in ein Mittel, um die Aufmerksamkeit von allen Zwecken abzulenken. „Haben die Leute eingewilligt?“ Wenn dies der Fall ist, empfiehlt die Gesellschaftsvertragstheorie Gehorsam, ohne weitere Fragen zu stellen.</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Die Frage, die sich en passant stellt, ist, wie eine solche Verschiebung intellektuell dominant werden konnte. Jede solche allgemeine Frage entzieht sich praktisch einer zufriedenstellenden Antwort, aber es lohnt sich, auf die Analyse der Verschiebung vom Ende zum Prozess in Hannah Arendts Human Condition458 hinzuweisen und ihre Behauptung zu wiederholen, dass die Auswirkungen dieser Verschiebung auf die politische Theorie massiv schädlich waren. Die Demokratie wird entkernt – nicht länger die Suche nach individueller Selbstverwirklichung und Verbesserung à la J.S. Mühle, aber nur das Schweinefass. Und um auf das offensichtliche Thema zurückzukommen, die Gesellschaftsvertragstheorie ist ähnlich fehlerhaft; Der orthodoxe Syllogismus hat den Effekt, dass er alle falschen Fragen stellt und verzerrt, was er zu erklären vorgibt. Es bläst ein bloßes Gerät zu einer ausgewachsenen Theorie auf, mit vorhersagbaren Ergebnissen – was als Gerät vollkommen ausreichend war, fehlt als Theorie hoffnungslos.</w:t>
      </w:r>
    </w:p>
    <w:p>
      <w:pPr>
        <w:pStyle w:val="Flietext1"/>
        <w:keepNext w:val="false"/>
        <w:keepLines w:val="false"/>
        <w:widowControl w:val="false"/>
        <w:shd w:val="clear" w:color="auto" w:fill="auto"/>
        <w:bidi w:val="0"/>
        <w:spacing w:before="0" w:after="260"/>
        <w:ind w:left="0" w:right="0" w:firstLine="320"/>
        <w:jc w:val="both"/>
        <w:rPr/>
      </w:pPr>
      <w:r>
        <w:rPr>
          <w:color w:val="000000"/>
          <w:spacing w:val="0"/>
          <w:w w:val="100"/>
          <w:shd w:fill="auto" w:val="clear"/>
          <w:lang w:val="en-US" w:eastAsia="en-US" w:bidi="en-US"/>
        </w:rPr>
        <w:t>Der Übergang zum unterstellten Syllogismus hat den weiteren und durchaus heilsamen Effekt, dass der Absolutismus von Grotius und Hobbes nicht länger irgendwie atypisch oder unvereinbar mit kontraktualen Prämissen ist. Es wurde oft behauptet, die Vertragstheorie sei der unvermeidliche Vorläufer der Demokratie; Sobald die Vertragstheorie auftauchte, war es nur eine Frage der Zeit, bis sie die Fehler beseitigte und zur Demokratie wurde, wodurch nichtdemokratische vertragliche Ideen auf den Status komischer Sackgassen reduziert wurden. Derathe diskutiert und verspottet solche Behauptungen zu Recht.568 Auch hier hat der falsche Syllogismus das Verständnis des Arguments verzerrt. Menschen sind gebunden, wenn sie zustimmen; Der beste Weg, um zu sehen, womit sie einverstanden sind, besteht darin, sie zu fragen, und nur ihre Antwort kann die Frage klären. daher empfehlen sich Volksabstimmungen oder Umfragen offensichtlich, und wir befinden uns in einer Demokratie. Aber nichts war offensichtlicher an Grotius, Hobbes, Locke und Rousseau, als dass sie das überhaupt nicht im Sinn hatten; selbst Locke und Rousseau, die demokratischsten der Gruppe, sind bestenfalls lauwarm in ihrem Bekenntnis zu Systemen wie denen der modernen Demokratie – Locke steht der Verfassungsform offen gleichgültig gegenüber, vorausgesetzt, dass die natürlichen Rechte geschützt werden; und Rousseau identifiziert die volonte generale weniger damit, wer das Wollen tut (Mehrheit oder was auch immer), als mit dem, was gewollt wird (das Gemeinwohl). Weit davon entfernt, mit dem Prozess beschäftigt zu sein (wie der orthodoxe Syllogismus andeutet), war ihnen dieser gleichgültig. Ihr Interesse galt den Zwecken des politischen Handelns, und der Prozess wurde logisch notwendig und daher obligatorisch nur aufgrund seiner Verbindung mit diesem Zweck, nicht aufgrund einer unabhängigen oder präventiven Bedeutung – das ist der klassische Gebrauch von Vertrag und Zustimmung, im Gegensatz zu die orthodoxe Interpretation seiner Verwendung.</w:t>
      </w:r>
    </w:p>
    <w:p>
      <w:pPr>
        <w:pStyle w:val="Flietext21"/>
        <w:keepNext w:val="false"/>
        <w:keepLines w:val="false"/>
        <w:widowControl w:val="false"/>
        <w:numPr>
          <w:ilvl w:val="0"/>
          <w:numId w:val="41"/>
        </w:numPr>
        <w:shd w:val="clear" w:color="auto" w:fill="auto"/>
        <w:tabs>
          <w:tab w:val="clear" w:pos="720"/>
          <w:tab w:val="left" w:pos="654" w:leader="none"/>
        </w:tabs>
        <w:bidi w:val="0"/>
        <w:spacing w:lineRule="auto" w:line="240" w:before="0" w:after="200"/>
        <w:ind w:left="0" w:right="0" w:firstLine="260"/>
        <w:jc w:val="left"/>
        <w:rPr/>
      </w:pPr>
      <w:r>
        <w:rPr>
          <w:color w:val="000000"/>
          <w:spacing w:val="0"/>
          <w:w w:val="100"/>
          <w:shd w:fill="auto" w:val="clear"/>
          <w:lang w:val="en-US" w:eastAsia="en-US" w:bidi="en-US"/>
        </w:rPr>
        <w:t>Hannah Arendt, The Human Condition, passim.</w:t>
      </w:r>
    </w:p>
    <w:p>
      <w:pPr>
        <w:pStyle w:val="Flietext1"/>
        <w:keepNext w:val="false"/>
        <w:keepLines w:val="false"/>
        <w:widowControl w:val="false"/>
        <w:shd w:val="clear" w:color="auto" w:fill="auto"/>
        <w:bidi w:val="0"/>
        <w:spacing w:before="0" w:after="220"/>
        <w:ind w:left="0" w:right="0" w:firstLine="280"/>
        <w:jc w:val="both"/>
        <w:rPr/>
      </w:pPr>
      <w:r>
        <w:rPr>
          <w:color w:val="000000"/>
          <w:spacing w:val="0"/>
          <w:w w:val="100"/>
          <w:shd w:fill="auto" w:val="clear"/>
          <w:vertAlign w:val="superscript"/>
          <w:lang w:val="en-US" w:eastAsia="en-US" w:bidi="en-US"/>
        </w:rPr>
        <w:t>Dass sie dies taten, ist natürlich nicht unbedingt selbstverständlich – es gibt einige Ansatzpunkte für die Prozesstheorie, insbesondere bei Locke –, aber diese Interpretation macht das merkwürdigste Merkmal von allen weniger zweifelhaft, nämlich ihr seltsames Beharren darauf die Festlegung eines Vertrags, der eine Reihe von Bedingungen enthält, die für alle Gesellschaften überall und jederzeit gelten, und ihr Vertrauen auf andere Argumente als historische Forschung, um diese Behauptung zu untermauern. Anstatt dies einfach als merkwürdige Abweichung ohne Bedeutung abzutun, scheint es ein mindestens ebenso gültiges Verfahren zu sein, sie beim Wort zu nehmen und herauszufinden, warum sie eine solche Behauptung aufstellen würden und warum alle eine im Wesentlichen ähnliche Behauptung aufstellen würden. Die Antwort auf diese Frage ist der unterstellte Vertrag. Bei Hobbes und Rousseau ist die Anpassung sehr einfach; Bei Locke gibt es mehr Verwirrung und Schwierigkeiten. Aber das Verfahren gibt uns eine klare und ziemlich enge logische Abfolge von Grotius, dem Initiator der Verwendung des Geräts, über Hobbes und Locke bis zu Rousseau; und es erübrigt sich zu argumentieren, dass die meisten Denker, die den Begriff „Gesellschaftsvertrag“ zu einer gemeinsamen philosophischen Währung gemacht haben, in Wirklichkeit überhaupt keine Vertragsparteien waren. Es wird nicht behauptet, dass diese Interpretation die Diskussion von Hobbes, Locke und Rousseau erschöpft, die alle als Denker zu tiefgründig sind, um unter einer einzigen Überschrift subsumiert zu werden; es wird jedoch suggeriert, dass diese Interpretation einen wichtigen Aspekt des Denkens aller drei beleuchtet und Behauptungen erklärt, die sonst schwer mit ihrer Gesellschaftsvertragsorientierung in Einklang zu bringen sind.568 459</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Es gibt eine offensichtliche Parallele zwischen diesem Ansatz und dem von Pitkin vorgeschlagenen460 568 – tatsächlich könnte es weniger unaufrichtig sein, eher eine Schuld als eine bloße Parallele anzuerkennen, wobei der Haupteinwand darin besteht, dass sie den Fall untertreibt. Erstens (ein kleiner Punkt) ist die Anwendung auf Locke und seine liberalen Nachkommen beschränkt und nicht allgemeiner auf den Sozialkontraktarismus. Dieser taktische Punkt hat zur Folge, dass ihre Anwendung der Theorie der „hypothetischen Zustimmung“ angesichts von Lockes Verwirrung zögerlicher wird, als sie es sein müsste, wenn sie breiter angewendet worden wäre. Zweitens (eher als wichtig) ist der Begriff „hypothetisch“ zu schwach, um dem gerecht zu werden, was die Vertragsparteien beabsichtigten, und ihre Verwendung stellt das Gleichgewicht nicht wieder her. Daher deutet es lediglich auf eine revidierte Interpretation hin, anstatt sie darzulegen und weiterzuentwickeln. Die Vertragsparteien gaben nicht (wie Pitkin schwach andeutet, dass sie es im Sinn hatten) an, welcher Art von Gesellschaft Männer ihre Zustimmung erteilen sollten; Sie richteten ihre Sicht nach oben, und die Theorie sollte stärker ausgedrückt werden. Für jeden von ihnen gab es nur eine einzige Art von System, auf die die Menschen ihre Zustimmung richten konnten, und zwar so, dass, selbst wenn die Menschen zufällig einer anderen Art von politischem System zustimmen würden, dies unmöglich sein könnte die Art der Einwilligung darstellen, an der sie interessiert waren. Die Zustimmung war in der Rationalität des überlegenden Individuums selbst enthalten und konnte nicht aufgegeben werden, ohne dass der Mensch dadurch auf die Rationalität verzichtete, was der Mensch nicht tun konnte, ohne aufzuhören, Mensch zu sein. Der Mensch hatte keine Wahl, nur Vernunft; der Geschmack ähnelt eher dem Naturgesetz als dem Handelsverkehr. Auch hier verzerrt der falsche Syllogismus, die Betonung des Prozesses, die Theorie und jede Diskussion darüber. Pitkin nimmt Zustimmung immer noch als implizierte freie Wahl, und für Hobbes, Locke und Rousseau ist die Wahl der Zustimmung zu dem bestimmten Typ von Gesellschaftssystem, den sie beschreiben, nicht freier als die Wahl, der Aussage zuzustimmen, dass zwei plus zwei gleich vier ist. oder dass schwere Gegenstände herunterfallen. Die Zustimmung ist nicht nur hypothetisch – dies impliziert immer noch eine freie Wahl. Es wird eher unterstellt – „Wahl“ ist irrelevant, Zustimmung kann einfach angenommen werden, sobald die logische Folgerung nachgewiesen ist.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Diese Argumentation impliziert einen Versuch, einen Teil der Geschichte der politischen Philosophie umzuschreiben, insbesondere den Teil der Geschichte der politischen Philosophie, der sich mit Gesellschaftsverträgen befasst. Gough fand Hobbes und Rousseau außerhalb des Mainstreams des Gesellschaftsvertragsdenkens; dies ist ein Versuch, einen neuen Mainstream des Gesellschaftsvertragsdenkens zu finden, einen, der durch die Abfolge Grotius-Hobbes-Locke-Rousseau angedeutet wird und einen starken naturrechtlichen Unterton trägt. Es mag durchaus mehr als eine Tradition innerhalb der allgemeinen Gruppe der Gesellschaftsvertragstheorien gegeben haben – es wäre höchst verdächtig, wenn dies nicht für eine Argumentationsform gelten würde, die zweihundert Jahre lang geherrscht hat – und es kann durchaus sein, dass die Schriften von Diese vier spiegeln auch einige dieser anderen Interpretationsstränge wider, aber wir können definitiv vorschlagen, dass diese eng verbundene Sequenz mindestens eine tragfähige Tradition bildet, nicht nur eine Sammlung unerklärlicher Variationen oder Abweichungen. Welche Unterschiede es auch immer zwischen diesen Denkern gegeben haben mag, sie sind durch einen grundsätzlich ähnlichen Gebrauch des Mittels des unterstellten Vertrages verbunden.</w:t>
      </w:r>
    </w:p>
    <w:p>
      <w:pPr>
        <w:pStyle w:val="Flietext1"/>
        <w:keepNext w:val="false"/>
        <w:keepLines w:val="false"/>
        <w:widowControl w:val="false"/>
        <w:shd w:val="clear" w:color="auto" w:fill="auto"/>
        <w:bidi w:val="0"/>
        <w:spacing w:before="0" w:after="260"/>
        <w:ind w:left="0" w:right="0" w:firstLine="320"/>
        <w:jc w:val="both"/>
        <w:rPr/>
      </w:pPr>
      <w:r>
        <w:rPr>
          <w:color w:val="000000"/>
          <w:spacing w:val="0"/>
          <w:w w:val="100"/>
          <w:shd w:fill="auto" w:val="clear"/>
          <w:lang w:val="en-US" w:eastAsia="en-US" w:bidi="en-US"/>
        </w:rPr>
        <w:t>Die Grundvoraussetzung ihres Denkens ist, dass es eine für alle Menschen verbindliche Verhaltensregel gibt, die allein durch Vernunft erkennbar ist. Mit anderen Worten, die Grundvoraussetzung des unterstellten Vertrags ist immer noch die des Naturrechts. Grotius, der erste Schritt in der Reihe, wird normalerweise in die Tradition des Naturrechts aufgenommen und ihm wird die Säkularisierung des Konzepts zugeschrieben. Er gab der Tradition ihre charakteristische Form – einen Naturzustand, aus dem ein Vertragsverhältnis entsteht, das eine stabile Gesellschaft schafft und auf diesem einheitlichen und universellen Verhaltensregelwerk basiert. Hobbes ist nicht nur eine Kopie von Grotius – er bricht mit der Annahme eines sozialen Instinkts und postuliert stattdessen eine rein egozentrische Psychologie aller Menschen –, aber er setzt die Verwendung der charakteristischen Form fort und, was noch wichtiger ist, er leitet immer noch a ab ein einziges Verhaltensregelwerk, das von der Vernunft entdeckt und in einem einzigen Vertrag festgehalten wird, der für alle vernünftigen Menschen verbindlich ist, wobei die Frage der formellen Zustimmung ziemlich irrelevant ist. Die Ideen von Locke passen viel weniger gut in das Muster, aber viele seiner Argumente sind parallel.462 Während das Gepäck von Grotius' natürlichem Menschen ein sozialer Instinkt ist und das von Hobbes die Angst vor dem Tod, bringt Lockes einen Körper von in die Gesellschaft Naturrechte, die auf einem Konzept des Naturrechts beruhen, das so orthodox ist, dass es nach der analytischen Chirurgie von Grotius und Hobbes anachronistisch erscheint. Aus dieser „Gegebenheit“ folgt die Argumentation jedoch dem bekannten Muster, dass der Vertrag eine logisch notwendige Schlussfolgerung aus logisch selbstverständlichen Prinzipien ist, so dass die Vernunft die Menschen an einen und nur einen möglichen legitimen Vertrag bindet. Mit anderen Worten, das orthodoxe Naturrechtskonzept wird mit dem vom Naturrecht abgeleiteten Gesellschaftsvertragsmodell überlagert. Rousseau passt wieder merkwürdigerweise – man bezeuge seinen zweideutigen Angriff auf das Naturrecht im Deuxieme Discours483, aber seine Schuld gegenüber Hobbes ist klar und stark. Wieder gibt es das Vertrauen, dass ein Naturzustand und ein Vertrag zu einem Ende führen, das an und für sich gut ist (und Zustimmung verlangt), und auf eine einzige rationale Schlussfolgerung, die zu diesem Vertrag führt. Tatsächlich bringt bei Rousseau die Unterscheidung zwischen den beiden Verträgen, dem einen betrügerischen und dem zweiten gereinigten, die unterstellte Natur des legitimen Vertrags sehr deutlich zum Ausdruck – nicht jede „Zustimmung“ verpflichtet, sondern nur Zustimmung zu einer bestimmten Art von Gesellschaft. (Die Klagen über die natürliche Güte des Menschen, die Natur einer Gruppe und die Entäußerbarkeit der Souveränität – allesamt zentral für Rousseau und ihn von Hobbes abgrenzend – sind sekundär gegenüber ihrer parallelen Verwendung des Sozialvertragsinstruments.) Rousseau, es ist wahr, als er sich einrichtete, zerbrach der Rahmen etwas, aber das lag nur daran, dass seine Betonung der Bedeutung der Auswirkungen der Sozialisation die Annahme des atomistischen Individuums untergrub, auf dem das Modell zu beruhen schien. Der Gesellschaftsvertrag war in seinen Prämissen individualistisch und rationalistisch; wir könnten (epigrammatisch, wenn auch zu einfach) die Gesellschaftsvertragstheorie als die historische Schnittmenge von Rationalismus und Individualismus definieren. Das neunzehnte Jahrhundert reagierte gegen diese beiden Stimmungen, der Rückgang der Verwendung des Geräts war kaum überraschend.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21"/>
        <w:keepNext w:val="false"/>
        <w:keepLines w:val="false"/>
        <w:widowControl w:val="false"/>
        <w:numPr>
          <w:ilvl w:val="0"/>
          <w:numId w:val="42"/>
        </w:numPr>
        <w:shd w:val="clear" w:color="auto" w:fill="auto"/>
        <w:tabs>
          <w:tab w:val="clear" w:pos="720"/>
          <w:tab w:val="left" w:pos="625" w:leader="none"/>
        </w:tabs>
        <w:bidi w:val="0"/>
        <w:spacing w:lineRule="auto" w:line="228" w:before="0" w:after="200"/>
        <w:ind w:left="0" w:right="0" w:firstLine="280"/>
        <w:jc w:val="both"/>
        <w:rPr/>
      </w:pPr>
      <w:r>
        <w:rPr>
          <w:color w:val="000000"/>
          <w:spacing w:val="0"/>
          <w:w w:val="100"/>
          <w:shd w:fill="auto" w:val="clear"/>
          <w:lang w:val="en-US" w:eastAsia="en-US" w:bidi="en-US"/>
        </w:rPr>
        <w:t>Die für einen solchen Anfall erforderliche Operation wurde weiter oben im Abschnitt über Locke wie folgt angegeben: a. die Zurückweisung des Arguments der stillschweigenden Zustimmung (ebenso wie das Argument der Ableitung der direkten Zustimmung aus der Tatsache der Erbschaft) als unnötig für sein allgemeines Vertragsargument; B. die Reduzierung seiner Akzeptanz der Demokratie von einer Position von zentraler Bedeutung zu einer Position von sekundärer Kontingenz.</w:t>
      </w:r>
    </w:p>
    <w:p>
      <w:pPr>
        <w:pStyle w:val="Flietext1"/>
        <w:keepNext w:val="false"/>
        <w:keepLines w:val="false"/>
        <w:widowControl w:val="false"/>
        <w:shd w:val="clear" w:color="auto" w:fill="auto"/>
        <w:bidi w:val="0"/>
        <w:spacing w:before="0" w:after="280"/>
        <w:ind w:left="0" w:right="0" w:firstLine="280"/>
        <w:jc w:val="both"/>
        <w:rPr/>
      </w:pPr>
      <w:r>
        <w:rPr>
          <w:color w:val="000000"/>
          <w:spacing w:val="0"/>
          <w:w w:val="100"/>
          <w:shd w:fill="auto" w:val="clear"/>
          <w:lang w:val="en-US" w:eastAsia="en-US" w:bidi="en-US"/>
        </w:rPr>
        <w:t>Angesichts einer solchen Sequenz ist es nicht länger paradox oder merkwürdig, dass Hobbes die Terminologie des Naturrechts verwendete oder dass Rousseau einige nette Dinge über einen Absolutisten wie Hobbes zu sagen hatte oder dass Derathe der Ansicht ist, dass die Schule des Naturrechts dies getan hat größten Einfluss auf Rousseau.464 Das Wesen und Unterscheidungsmerkmal des unterstellten Vertrags besteht darin, dass es ein und nur ein Regelwerk gibt, das menschliches Verhalten bindet, und dass dieses Regelwerk allein der Vernunft zugänglich ist, da diese Vernunft ahistorisch ist. Dieses Regelwerk umfasst den Vertrag. (Daher akzeptierte Locke eine Theorie des Naturrechts, die auf der Offenbarung Gottes beruhte, begründete sein Vertragsargument jedoch nicht mit dem Befehl Gottes, sondern mit direkteren rationalistischen Prämissen; der Säkularismus von Grotius und Hobbes, der in Bezug auf den zentralen Körper des Natürlichen abgelehnt wurde Rechte, wird hinsichtlich Ableitung und Inhalt des Vertrages stillschweigend zugestanden.) Der Vertrag selbst ist ahistorisch; Jeder Einzelne, der seine Vernunft auf das Problem der Politik anwendet, wird spontan zu dem rationalen Bedürfnis kommen, den Vertrag anzunehmen. Jede Generation ist in einem wichtigen Sinne die „ursprüngliche Generation“ der sozialvertraglichen Mythologie. Die Zurückweisung oder Verweigerung des Vertrages brandmarkt einen Mann weniger böse als irrational. Bei allen Unterschieden zwischen den Vertragsparteien und zwischen bestimmten Vertragsparteien und den traditionellen Naturrechtstheoretikern verbindet sie das Grundthema – ein starkes Vertrauen in ahistorische Rationalität. Der Kontraktualismus ist kein individualistischer Gegensatz zum naturrechtlichen Rationalismus, sondern ein naturrechtlicher Gegensatz zum Individualismus.</w:t>
      </w:r>
    </w:p>
    <w:p>
      <w:pPr>
        <w:pStyle w:val="Flietext21"/>
        <w:keepNext w:val="false"/>
        <w:keepLines w:val="false"/>
        <w:widowControl w:val="false"/>
        <w:numPr>
          <w:ilvl w:val="0"/>
          <w:numId w:val="42"/>
        </w:numPr>
        <w:shd w:val="clear" w:color="auto" w:fill="auto"/>
        <w:tabs>
          <w:tab w:val="clear" w:pos="720"/>
          <w:tab w:val="left" w:pos="620" w:leader="none"/>
        </w:tabs>
        <w:bidi w:val="0"/>
        <w:spacing w:lineRule="auto" w:line="220" w:before="0" w:after="0"/>
        <w:ind w:left="0" w:right="0" w:firstLine="280"/>
        <w:jc w:val="both"/>
        <w:rPr/>
      </w:pPr>
      <w:r>
        <w:rPr>
          <w:color w:val="000000"/>
          <w:spacing w:val="0"/>
          <w:w w:val="100"/>
          <w:shd w:fill="auto" w:val="clear"/>
          <w:lang w:val="en-US" w:eastAsia="en-US" w:bidi="en-US"/>
        </w:rPr>
        <w:t>Dies wird oft als uneingeschränkte Ablehnung des Naturrechts interpretiert, obwohl Derathe zu Recht argumentiert, dass seine hochqualifizierte Natur viel mehr auf Rousseaus Absicht und Stimmung hinweist. vgl. Ebd., p. 27. Die hier angedeutete Verpflichtung gegenüber dem Naturrecht ist jedoch eher indirekt.</w:t>
      </w:r>
    </w:p>
    <w:p>
      <w:pPr>
        <w:pStyle w:val="Flietext21"/>
        <w:keepNext w:val="false"/>
        <w:keepLines w:val="false"/>
        <w:widowControl w:val="false"/>
        <w:numPr>
          <w:ilvl w:val="0"/>
          <w:numId w:val="42"/>
        </w:numPr>
        <w:shd w:val="clear" w:color="auto" w:fill="auto"/>
        <w:tabs>
          <w:tab w:val="clear" w:pos="720"/>
          <w:tab w:val="left" w:pos="650" w:leader="none"/>
        </w:tabs>
        <w:bidi w:val="0"/>
        <w:spacing w:lineRule="auto" w:line="189" w:before="0" w:after="200"/>
        <w:ind w:left="0" w:right="0" w:firstLine="260"/>
        <w:jc w:val="left"/>
        <w:rPr/>
      </w:pPr>
      <w:r>
        <w:rPr>
          <w:color w:val="000000"/>
          <w:spacing w:val="0"/>
          <w:w w:val="100"/>
          <w:shd w:fill="auto" w:val="clear"/>
          <w:lang w:val="en-US" w:eastAsia="en-US" w:bidi="en-US"/>
        </w:rPr>
        <w:t>Ebd., p. 27.</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Da der Gesellschaftsvertrag keine Theorie ist, sondern nur ein Instrument, das zu einer Theorie führt, verlangt er weniger eine Widerlegung als vielmehr eine Klärung der Prämisse, auf der er beruht. Dies ist der erste Begriff des Syllogismus – ein Mann kann nur durch seine eigene Zustimmung gebunden werden – und das ist es, was (fälschlicherweise) das Denken von Gesellschaftsverträgen für zeitgenössische Demokraten, die nach einem Stammbaum suchen, so kongenial macht. Wichtig ist nicht die Zustimmung tatsächlich einzigartiger Individuen, sondern die Zustimmung eines hypothetischen rationalen Menschen – Individualismus und Rationalismus sind die beiden Prämissen des unterstellten Vertrags, und der Rationalismus ist definitiv der dominierende Partner. Die Zustimmung zum Gesellschaftsvertrag ist analog zur Zustimmung zu dem Satz, dass zwei plus zwei gleich vier ist; Hobbes' Behauptung, seine Argumentation auf Geometrie zu stützen, ist sehr bezeichnend. Der Gesellschaftsvertrag war keinem der Systeme inhärent oder grundlegend; es wurde angehängt, um eine Kerntheorie individualistischen Prämissen anzupassen, und für Rousseau ist dies besonders offensichtlich. Der Bürgersteig des unterstellten Vertrages wurde gebaut, um den Zugang zum Haus zu ermöglichen, nicht umgekehrt.</w:t>
      </w:r>
    </w:p>
    <w:p>
      <w:pPr>
        <w:pStyle w:val="Flietext1"/>
        <w:keepNext w:val="false"/>
        <w:keepLines w:val="false"/>
        <w:widowControl w:val="false"/>
        <w:shd w:val="clear" w:color="auto" w:fill="auto"/>
        <w:bidi w:val="0"/>
        <w:spacing w:before="0" w:after="200"/>
        <w:ind w:left="0" w:right="0" w:firstLine="280"/>
        <w:jc w:val="both"/>
        <w:rPr/>
      </w:pPr>
      <w:r>
        <w:rPr>
          <w:color w:val="000000"/>
          <w:spacing w:val="0"/>
          <w:w w:val="100"/>
          <w:shd w:fill="auto" w:val="clear"/>
          <w:lang w:val="en-US" w:eastAsia="en-US" w:bidi="en-US"/>
        </w:rPr>
        <w:t>Es ist der springende Punkt bei dieser Herangehensweise an den Gesellschaftsvertrag, dass sich die Widerlegung oder das Gegenargument am besten nicht auf das Instrument des Gesellschaftsvertrags selbst richtet, sondern vielmehr auf die substantielle Theorie, zu der ein solcher Vertrag lediglich ein Zugangsweg ist; dies wurde bereits in den den einzelnen Vertragspartnern gewidmeten Abschnitten vorgenommen.</w:t>
      </w:r>
    </w:p>
    <w:p>
      <w:pPr>
        <w:pStyle w:val="Berschrift11"/>
        <w:keepNext w:val="true"/>
        <w:keepLines/>
        <w:widowControl w:val="false"/>
        <w:numPr>
          <w:ilvl w:val="0"/>
          <w:numId w:val="37"/>
        </w:numPr>
        <w:shd w:val="clear" w:color="auto" w:fill="auto"/>
        <w:tabs>
          <w:tab w:val="clear" w:pos="720"/>
          <w:tab w:val="left" w:pos="457" w:leader="none"/>
        </w:tabs>
        <w:bidi w:val="0"/>
        <w:spacing w:lineRule="auto" w:line="240" w:before="0" w:after="380"/>
        <w:ind w:left="440" w:right="0" w:hanging="440"/>
        <w:jc w:val="both"/>
        <w:rPr/>
      </w:pPr>
      <w:bookmarkStart w:id="36" w:name="bookmark45"/>
      <w:bookmarkStart w:id="37" w:name="bookmark47"/>
      <w:bookmarkStart w:id="38" w:name="bookmark46"/>
      <w:r>
        <w:rPr>
          <w:spacing w:val="0"/>
          <w:w w:val="100"/>
          <w:shd w:fill="auto" w:val="clear"/>
          <w:lang w:val="en-US" w:eastAsia="en-US" w:bidi="en-US"/>
        </w:rPr>
        <w:t>Das Thema unterteilt: 1. Demokratie, Zustimmung und Verpflichtung</w:t>
      </w:r>
      <w:bookmarkEnd w:id="36"/>
      <w:bookmarkEnd w:id="37"/>
      <w:bookmarkEnd w:id="38"/>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Insofern Zustimmung sowohl in der Gesellschaftsvertragstheorie als auch in der Demokratietheorie eine prominente Rolle spielt, erscheint die Erweiterung eines Arguments über Verpflichtung und Gesellschaftsvertrag auf Verpflichtung und Demokratie nicht unangemessen. Die Erweiterung ist keineswegs so einfach, wie es scheinen mag – die Gesellschaftsvertragstheorie ist nicht einfach eine frühe Form der Demokratietheorie, die unausweichlich zu ihrer ausgereiften Form tendiert, und eine solche Sichtweise verzerrt lediglich den Gesellschaftsvertrag, ohne zur Demokratietheorie beizutragen. Das einzige verbindende Glied ist effektiv der einzelne Begriff „Einwilligung“, aber da dieser Begriff mehrdeutig ist, muss und bedeutet dies keine materielle Identität.</w:t>
      </w:r>
    </w:p>
    <w:p>
      <w:pPr>
        <w:pStyle w:val="Flietext1"/>
        <w:keepNext w:val="false"/>
        <w:keepLines w:val="false"/>
        <w:widowControl w:val="false"/>
        <w:shd w:val="clear" w:color="auto" w:fill="auto"/>
        <w:bidi w:val="0"/>
        <w:spacing w:before="0" w:after="260"/>
        <w:ind w:left="0" w:right="0" w:firstLine="320"/>
        <w:jc w:val="both"/>
        <w:rPr/>
      </w:pPr>
      <w:r>
        <w:rPr>
          <w:color w:val="000000"/>
          <w:spacing w:val="0"/>
          <w:w w:val="100"/>
          <w:shd w:fill="auto" w:val="clear"/>
          <w:lang w:val="en-US" w:eastAsia="en-US" w:bidi="en-US"/>
        </w:rPr>
        <w:t>Wie im vorangegangenen Abschnitt angedeutet wurde, ist Demokratie weitgehend eine Anwendung der orthodoxen Interpretation der Vertragstheorie, deren Syllogismus wie folgt lautet:</w:t>
      </w:r>
    </w:p>
    <w:p>
      <w:pPr>
        <w:pStyle w:val="Flietext1"/>
        <w:keepNext w:val="false"/>
        <w:keepLines w:val="false"/>
        <w:widowControl w:val="false"/>
        <w:shd w:val="clear" w:color="auto" w:fill="auto"/>
        <w:bidi w:val="0"/>
        <w:spacing w:before="0" w:after="120"/>
        <w:ind w:left="0" w:right="0" w:firstLine="320"/>
        <w:jc w:val="left"/>
        <w:rPr/>
      </w:pPr>
      <w:r>
        <w:rPr>
          <w:color w:val="000000"/>
          <w:spacing w:val="0"/>
          <w:w w:val="100"/>
          <w:shd w:fill="auto" w:val="clear"/>
          <w:lang w:val="en-US" w:eastAsia="en-US" w:bidi="en-US"/>
        </w:rPr>
        <w:t xml:space="preserve">• </w:t>
      </w:r>
      <w:r>
        <w:rPr>
          <w:color w:val="000000"/>
          <w:spacing w:val="0"/>
          <w:w w:val="100"/>
          <w:shd w:fill="auto" w:val="clear"/>
          <w:lang w:val="en-US" w:eastAsia="en-US" w:bidi="en-US"/>
        </w:rPr>
        <w:t>A. ein Mann kann nur durch seine eigene freiwillig gegebene Zustimmung gebunden werden</w:t>
      </w:r>
    </w:p>
    <w:p>
      <w:pPr>
        <w:pStyle w:val="Flietext1"/>
        <w:keepNext w:val="false"/>
        <w:keepLines w:val="false"/>
        <w:widowControl w:val="false"/>
        <w:shd w:val="clear" w:color="auto" w:fill="auto"/>
        <w:bidi w:val="0"/>
        <w:spacing w:before="0" w:after="120"/>
        <w:ind w:left="0" w:right="0" w:firstLine="320"/>
        <w:jc w:val="left"/>
        <w:rPr/>
      </w:pPr>
      <w:r>
        <w:rPr>
          <w:color w:val="000000"/>
          <w:spacing w:val="0"/>
          <w:w w:val="100"/>
          <w:shd w:fill="auto" w:val="clear"/>
          <w:lang w:val="en-US" w:eastAsia="en-US" w:bidi="en-US"/>
        </w:rPr>
        <w:t xml:space="preserve">• </w:t>
      </w:r>
      <w:r>
        <w:rPr>
          <w:color w:val="000000"/>
          <w:spacing w:val="0"/>
          <w:w w:val="100"/>
          <w:shd w:fill="auto" w:val="clear"/>
          <w:lang w:val="en-US" w:eastAsia="en-US" w:bidi="en-US"/>
        </w:rPr>
        <w:t>B. dieser Mann hat zugestimmt</w:t>
      </w:r>
    </w:p>
    <w:p>
      <w:pPr>
        <w:pStyle w:val="Flietext1"/>
        <w:keepNext w:val="false"/>
        <w:keepLines w:val="false"/>
        <w:widowControl w:val="false"/>
        <w:shd w:val="clear" w:color="auto" w:fill="auto"/>
        <w:bidi w:val="0"/>
        <w:spacing w:before="0" w:after="120"/>
        <w:ind w:left="0" w:right="0" w:firstLine="320"/>
        <w:jc w:val="left"/>
        <w:rPr/>
      </w:pPr>
      <w:r>
        <w:rPr>
          <w:color w:val="000000"/>
          <w:spacing w:val="0"/>
          <w:w w:val="100"/>
          <w:shd w:fill="auto" w:val="clear"/>
          <w:lang w:val="en-US" w:eastAsia="en-US" w:bidi="en-US"/>
        </w:rPr>
        <w:t xml:space="preserve">• </w:t>
      </w:r>
      <w:r>
        <w:rPr>
          <w:color w:val="000000"/>
          <w:spacing w:val="0"/>
          <w:w w:val="100"/>
          <w:shd w:fill="auto" w:val="clear"/>
          <w:lang w:val="en-US" w:eastAsia="en-US" w:bidi="en-US"/>
        </w:rPr>
        <w:t>C. deshalb sollte dieser Mann gehorchen</w:t>
      </w:r>
    </w:p>
    <w:p>
      <w:pPr>
        <w:pStyle w:val="Flietext1"/>
        <w:keepNext w:val="false"/>
        <w:keepLines w:val="false"/>
        <w:widowControl w:val="false"/>
        <w:shd w:val="clear" w:color="auto" w:fill="auto"/>
        <w:bidi w:val="0"/>
        <w:spacing w:before="0" w:after="0"/>
        <w:ind w:left="0" w:right="0" w:hanging="0"/>
        <w:jc w:val="both"/>
        <w:rPr/>
      </w:pPr>
      <w:r>
        <w:rPr>
          <w:color w:val="000000"/>
          <w:spacing w:val="0"/>
          <w:w w:val="100"/>
          <w:shd w:fill="auto" w:val="clear"/>
          <w:lang w:val="en-US" w:eastAsia="en-US" w:bidi="en-US"/>
        </w:rPr>
        <w:t>Die Strenge der Analyse fällt auf den zweiten Begriff, nämlich den Beweis, dass eine bestimmte Person zugestimmt haben kann, und es wurde zugegeben, dass die klassischen Quellen ihn einzigartig schlecht beantwortet haben. Die demokratische Theorie kann als ein Versuch angesehen werden, diese Forderung rigoros und überzeugend zu erfüllen und das Paradigma unverändert zu akzeptieren. Alternativ dazu wurde in Anlehnung an den anderen (imputierten) Ansatz der Vertragstheorie vorgeschlagen, dass es sinnvoller sei, zwei Komponenten der Gesellschaftsvertragstheorie zu unterscheiden: erstens eine substantielle Theorie, oft von ethischer Bedeutung und immer stark rationalistisch, was dazu führte eindeutig erzwungene Zustimmung; und zweitens Zustimmung und Vertrag als Zugangsweg zum ersten über individualistische Prämissen. Insofern macht sich die Demokratietheorie einer Verkennung ihres vermeintlichen Vorläufers schuldig, indem sie die inhaltliche Theorie verwirft und sich nur auf den Zugangsweg konzentriert.</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Natürlich gibt es eine anhaltende Debatte darüber, was genau mit „Demokratie“ gemeint ist, aber ein Großteil dieser Debatte ist für die gegenwärtigen Zwecke irrelevant. Das Bindeglied zwischen Kontakt und Demokratie ist die Zustimmung, und dies bietet einen geeigneten Fokus für eine Diskussion über Demokratie. Demokratische Theorie wird innerhalb der Grenzen des orthodoxen Paradigmas diskutiert, um die Behauptung zu rechtfertigen, dass „dieser Mann eingewilligt hat“, um zu der Schlussfolgerung zu gelangen, „daher sollte dieser Mann gehorchen“.</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Ein weiterer Vorbehalt ist notwendig: Es geht nur darum, inwieweit Verpflichtungen aus institutionalisierten Formen der Zustimmung abgeleitet werden können, aber dies soll weder bedeuten, dass dies die einzig mögliche Quelle der Verpflichtung ist, noch dass die Demokratietheorie vollständig auf der Begriff der Zustimmung. Es geht nicht um Verpflichtung in vollem Umfang und auch nicht um Demokratietheorie in vollem Umfang, sondern nur um Verpflichtung und Zustimmung.</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Ranney und Kendall destillieren in ihrer Diskussion darüber, wie Demokratie zu einem „Ehrenwort“ geworden ist, drei gemeinsame Elemente in der neueren Literatur, die ihrer Meinung nach eine angemessene Grundlage für Diskussionen bilden. Diese drei sind: politische Gleichheit (im Sinne von einem Mann eine Stimme); Reaktion der Regierung auf den Volkswillen (indem das Volk letztendlich entscheidet); und Herrschaft durch Mehrheit statt durch Minderheit.465 Diese Formulierung enthält einige Zweideutigkeiten (z. B. Wörter wie „Antwort“ und „Regel“), aber dies ist ein unvermeidliches Merkmal jedes verwendbaren kleinsten gemeinsamen Nenners und kein Ausschluss dafür gegenwärtige Zwecke.</w:t>
      </w:r>
    </w:p>
    <w:p>
      <w:pPr>
        <w:pStyle w:val="Flietext1"/>
        <w:keepNext w:val="false"/>
        <w:keepLines w:val="false"/>
        <w:widowControl w:val="false"/>
        <w:shd w:val="clear" w:color="auto" w:fill="auto"/>
        <w:bidi w:val="0"/>
        <w:spacing w:before="0" w:after="280"/>
        <w:ind w:left="0" w:right="0" w:firstLine="320"/>
        <w:jc w:val="both"/>
        <w:rPr/>
      </w:pPr>
      <w:r>
        <w:rPr>
          <w:color w:val="000000"/>
          <w:spacing w:val="0"/>
          <w:w w:val="100"/>
          <w:shd w:fill="auto" w:val="clear"/>
          <w:lang w:val="en-US" w:eastAsia="en-US" w:bidi="en-US"/>
        </w:rPr>
        <w:t>Zustimmung ist auch ein mehrdeutiges Wort, das weitere Probleme schafft. Auf der untersten Ebene mag man einen glühenden Slogan äußern wie: Ein demokratischer Staat basiert auf der Zustimmung der Regierten. Das mag stimmen, bringt einen aber nicht sehr weit, da von keinem Regime erwartet werden kann, lange ohne ein gewisses Maß an Unterstützung durch die Bevölkerung zu überleben; Wenn das Außenministerium behauptet, dass weniger als 3 % der chinesischen Bevölkerung das kommunistische Regime unterstützen466 oder Buckley, dass weniger als 2 % der kubanischen Bevölkerung Castro gegenüber Bastista bevorzugen467, scheint dies wenig mehr als Wunschdenken zu sein. Kahn und Weiner468 schlucken die Binsenweisheit im Ganzen, indem sie jedes System mit einer populären politischen Basis als demokratisch definieren; die Übertreibung hat das Verdienst, darauf hinzuweisen, dass westliche Demokratien nicht notwendigerweise die einzigen Systeme sind, in denen auf Zustimmung beruhende Verpflichtungen bestehen können. Die anfängliche Formulierung lenkt nur von der entscheidenden Frage ab: Es geht nicht darum, ob die Menschen „einwilligen“ oder nicht, sondern ob es Möglichkeiten gibt, diese Zustimmung eher als bestimmend denn als zufällig zu werten. In einer Demokratie ist die Zustimmung institutionalisiert; Anstatt sich nur mit Geschrei zu vergnügen, wer mehr „echte“ Zustimmung hat, behauptet die Demokratie, die Black Box öffnen und anzeigen zu können, wie die „Zustimmung“ der Menschen in staatliches Handeln umgesetzt wird, und das ist etwas, das nichtdemokratische Systeme können das nicht.</w:t>
      </w:r>
    </w:p>
    <w:p>
      <w:pPr>
        <w:pStyle w:val="Flietext21"/>
        <w:keepNext w:val="false"/>
        <w:keepLines w:val="false"/>
        <w:widowControl w:val="false"/>
        <w:numPr>
          <w:ilvl w:val="0"/>
          <w:numId w:val="42"/>
        </w:numPr>
        <w:shd w:val="clear" w:color="auto" w:fill="auto"/>
        <w:tabs>
          <w:tab w:val="clear" w:pos="720"/>
          <w:tab w:val="left" w:pos="610" w:leader="none"/>
        </w:tabs>
        <w:bidi w:val="0"/>
        <w:spacing w:lineRule="auto" w:line="213" w:before="0" w:after="220"/>
        <w:ind w:left="0" w:right="0" w:firstLine="260"/>
        <w:jc w:val="both"/>
        <w:rPr/>
      </w:pPr>
      <w:r>
        <w:rPr>
          <w:color w:val="000000"/>
          <w:spacing w:val="0"/>
          <w:w w:val="100"/>
          <w:shd w:fill="auto" w:val="clear"/>
          <w:lang w:val="en-US" w:eastAsia="en-US" w:bidi="en-US"/>
        </w:rPr>
        <w:t>Austin Ranney &amp; Willmoore Kendall, „Demokratie: Verwirrung und Einigung“, in The Western Political Quarterly, Bd. IV Nr. 3 (September 1951), S. 431-439.</w:t>
      </w:r>
    </w:p>
    <w:p>
      <w:pPr>
        <w:pStyle w:val="Flietext1"/>
        <w:keepNext w:val="false"/>
        <w:keepLines w:val="false"/>
        <w:widowControl w:val="false"/>
        <w:shd w:val="clear" w:color="auto" w:fill="auto"/>
        <w:bidi w:val="0"/>
        <w:spacing w:before="0" w:after="280"/>
        <w:ind w:left="0" w:right="0" w:firstLine="260"/>
        <w:jc w:val="both"/>
        <w:rPr/>
      </w:pPr>
      <w:r>
        <w:rPr>
          <w:color w:val="000000"/>
          <w:spacing w:val="0"/>
          <w:w w:val="100"/>
          <w:shd w:fill="auto" w:val="clear"/>
          <w:lang w:val="en-US" w:eastAsia="en-US" w:bidi="en-US"/>
        </w:rPr>
        <w:t>Es bleiben Probleme, da „Einwilligung“ eine Reihe von Bedeutungen hat. In einem wohl am wenigsten nützlichen Kommentar in der Literatur behauptet Plamenatz an einer Stelle rundheraus: „Entweder gibt es Zustimmung oder es gibt keine Zustimmung“469 und reduziert eine komplexe Situation auf eine einfache Dichotomie. Im Gegenteil, Zustimmung hat ein Kontinuum effektiver Bedeutungen. In seiner stärksten Form scheint es so etwas wie Kontrolle zu bedeuten, woraus Verpflichtung im Sinne von Verantwortung abgeleitet werden kann. In seiner schwächsten Form, um eine allzu treffende Metapher hervorzurufen, ist die Zustimmung der Unterschied zwischen Vergewaltigung und Verführung.</w:t>
      </w:r>
    </w:p>
    <w:p>
      <w:pPr>
        <w:pStyle w:val="Flietext21"/>
        <w:keepNext w:val="false"/>
        <w:keepLines w:val="false"/>
        <w:widowControl w:val="false"/>
        <w:numPr>
          <w:ilvl w:val="0"/>
          <w:numId w:val="42"/>
        </w:numPr>
        <w:shd w:val="clear" w:color="auto" w:fill="auto"/>
        <w:tabs>
          <w:tab w:val="clear" w:pos="720"/>
          <w:tab w:val="left" w:pos="625" w:leader="none"/>
        </w:tabs>
        <w:bidi w:val="0"/>
        <w:spacing w:lineRule="auto" w:line="228" w:before="0" w:after="0"/>
        <w:ind w:left="0" w:right="0" w:firstLine="260"/>
        <w:jc w:val="both"/>
        <w:rPr/>
      </w:pPr>
      <w:r>
        <w:rPr>
          <w:color w:val="000000"/>
          <w:spacing w:val="0"/>
          <w:w w:val="100"/>
          <w:shd w:fill="auto" w:val="clear"/>
          <w:lang w:val="en-US" w:eastAsia="en-US" w:bidi="en-US"/>
        </w:rPr>
        <w:t>Walter Robertson, stellvertretender Außenminister für Angelegenheiten des Fernen Ostens; zitiert in Noam Chomsky, „The Responsibility of the Intellectuals“, in The Dissenting Academy: Essays Criticizing the Teaching of the Humanities in American Universities, hrsg. von Theodore Roszak (Harmondsworth, England: Penguin Books Ltd., 1967), p. 240.</w:t>
      </w:r>
    </w:p>
    <w:p>
      <w:pPr>
        <w:pStyle w:val="Flietext21"/>
        <w:keepNext w:val="false"/>
        <w:keepLines w:val="false"/>
        <w:widowControl w:val="false"/>
        <w:numPr>
          <w:ilvl w:val="0"/>
          <w:numId w:val="42"/>
        </w:numPr>
        <w:shd w:val="clear" w:color="auto" w:fill="auto"/>
        <w:tabs>
          <w:tab w:val="clear" w:pos="720"/>
          <w:tab w:val="left" w:pos="625" w:leader="none"/>
        </w:tabs>
        <w:bidi w:val="0"/>
        <w:spacing w:lineRule="auto" w:line="213" w:before="0" w:after="0"/>
        <w:ind w:left="0" w:right="0" w:firstLine="260"/>
        <w:jc w:val="both"/>
        <w:rPr/>
      </w:pPr>
      <w:r>
        <w:rPr>
          <w:color w:val="000000"/>
          <w:spacing w:val="0"/>
          <w:w w:val="100"/>
          <w:shd w:fill="auto" w:val="clear"/>
          <w:lang w:val="en-US" w:eastAsia="en-US" w:bidi="en-US"/>
        </w:rPr>
        <w:t>William F. Buckley, Jr., in Dialogues in Americanism (Chicago: Henry Regnery Co., 1964), p. 61.</w:t>
      </w:r>
    </w:p>
    <w:p>
      <w:pPr>
        <w:pStyle w:val="Flietext21"/>
        <w:keepNext w:val="false"/>
        <w:keepLines w:val="false"/>
        <w:widowControl w:val="false"/>
        <w:numPr>
          <w:ilvl w:val="0"/>
          <w:numId w:val="42"/>
        </w:numPr>
        <w:shd w:val="clear" w:color="auto" w:fill="auto"/>
        <w:tabs>
          <w:tab w:val="clear" w:pos="720"/>
          <w:tab w:val="left" w:pos="625" w:leader="none"/>
        </w:tabs>
        <w:bidi w:val="0"/>
        <w:spacing w:lineRule="auto" w:line="213" w:before="0" w:after="0"/>
        <w:ind w:left="0" w:right="0" w:firstLine="260"/>
        <w:jc w:val="both"/>
        <w:rPr/>
      </w:pPr>
      <w:r>
        <w:rPr>
          <w:color w:val="000000"/>
          <w:spacing w:val="0"/>
          <w:w w:val="100"/>
          <w:shd w:fill="auto" w:val="clear"/>
          <w:lang w:val="en-US" w:eastAsia="en-US" w:bidi="en-US"/>
        </w:rPr>
        <w:t>Herman Kahn und Anthony Weiner, The Year 2000: A Framework for Speculation on the Next Thirty-three Years (London: Macmillan, 1967), p. 48.</w:t>
      </w:r>
    </w:p>
    <w:p>
      <w:pPr>
        <w:pStyle w:val="Flietext21"/>
        <w:keepNext w:val="false"/>
        <w:keepLines w:val="false"/>
        <w:widowControl w:val="false"/>
        <w:numPr>
          <w:ilvl w:val="0"/>
          <w:numId w:val="42"/>
        </w:numPr>
        <w:shd w:val="clear" w:color="auto" w:fill="auto"/>
        <w:tabs>
          <w:tab w:val="clear" w:pos="720"/>
          <w:tab w:val="left" w:pos="625" w:leader="none"/>
        </w:tabs>
        <w:bidi w:val="0"/>
        <w:spacing w:lineRule="auto" w:line="213" w:before="0" w:after="220"/>
        <w:ind w:left="0" w:right="0" w:firstLine="260"/>
        <w:jc w:val="both"/>
        <w:rPr/>
      </w:pPr>
      <w:r>
        <w:rPr>
          <w:color w:val="000000"/>
          <w:spacing w:val="0"/>
          <w:w w:val="100"/>
          <w:shd w:fill="auto" w:val="clear"/>
          <w:lang w:val="en-US" w:eastAsia="en-US" w:bidi="en-US"/>
        </w:rPr>
        <w:t>Plamenatz, Consent, Freedom and Political Obligation, 2. Auflage (London: Oxford University Press, 1968), p. 7.</w:t>
      </w:r>
    </w:p>
    <w:p>
      <w:pPr>
        <w:pStyle w:val="Flietext1"/>
        <w:keepNext w:val="false"/>
        <w:keepLines w:val="false"/>
        <w:widowControl w:val="false"/>
        <w:shd w:val="clear" w:color="auto" w:fill="auto"/>
        <w:bidi w:val="0"/>
        <w:spacing w:before="0" w:after="0"/>
        <w:ind w:left="0" w:right="0" w:firstLine="260"/>
        <w:jc w:val="both"/>
        <w:rPr/>
      </w:pPr>
      <w:r>
        <w:rPr>
          <w:color w:val="000000"/>
          <w:spacing w:val="0"/>
          <w:w w:val="100"/>
          <w:shd w:fill="auto" w:val="clear"/>
          <w:lang w:val="en-US" w:eastAsia="en-US" w:bidi="en-US"/>
        </w:rPr>
        <w:t>Die Diskussion gliedert sich in offensichtliche Abschnitte. Erstens wird die Demokratie als Mehrheitsregel betrachtet, mit dem starken Gefühl der Zustimmung. Die Grundaussage ist, dass von einer Zustimmung gesprochen werden kann, weil die Regierungsentscheidung eine Verkörperung des Mehrheitswillens ist. Es gibt kein separates Ergebnis, für das die Zustimmung eingeholt wird, sondern das Ergebnis wird durch gleich gewichtete individuelle Präferenzen bestimmt, und man stimmt zu, indem man eine solche Präferenz angibt. Als Mittel, um dies zu gewährleisten, wurde üblicherweise die Abstimmung angenommen, deren Angemessenheit kurz bewertet werden soll. Pluralistische Demokratie wird ebenfalls in Betracht gezogen, insofern sie sich in die Tradition der „starken Zustimmung“ einordnet (wie es Dahl470 zu sein scheint), aber einen alternativen (oder vielleicht nur ergänzenden) Mechanismus vorschlägt, um diese Präferenz wirksam zu machen. Die Rubrik lautet „starke Zustimmung“, weil sie (wie Plamenatz eloquent darlegt)471 nicht nur eine duldende Zustimmung, sondern eine autorisierende Zustimmung beinhaltet – die Zustimmung wird vor der Handlung eingeholt. Die operative Zustimmung ist die Zustimmung, die in staatlichem Handeln verwirklicht wird, und die Verpflichtung kann in Bezug auf die Verantwortung für dieses Handeln diskutiert werden.</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Der zweite Abschnitt befasst sich mit Ansichten zur Demokratie, die sich auf „Zustimmung“ in einem schwächeren Sinne stützen. Allgemein könnte man den ersten Abschnitt als „Demokratie“ und den zweiten als „Liberalismus“ charakterisieren; Obwohl eine solche Charakterisierung zu oberflächlich ist, um zufriedenstellend zu sein, zeigt sie zumindest den Unterschied in der Betonung an. Der grundlegende Unterschied besteht darin, dass das demokratische Wahlrecht aus dieser Sicht negativ wirkt; es gibt weder unmittelbare Kontrolle über die Politik noch sollte es eine unmittelbare Kontrolle geben, sondern stellt lediglich ein Mittel bereit, um Regierungen im Nachhinein zu bestrafen.</w:t>
      </w:r>
    </w:p>
    <w:p>
      <w:pPr>
        <w:pStyle w:val="Flietext1"/>
        <w:keepNext w:val="false"/>
        <w:keepLines w:val="false"/>
        <w:widowControl w:val="false"/>
        <w:shd w:val="clear" w:color="auto" w:fill="auto"/>
        <w:bidi w:val="0"/>
        <w:spacing w:before="0" w:after="280"/>
        <w:ind w:left="0" w:right="0" w:firstLine="280"/>
        <w:jc w:val="both"/>
        <w:rPr/>
      </w:pPr>
      <w:r>
        <w:rPr>
          <w:color w:val="000000"/>
          <w:spacing w:val="0"/>
          <w:w w:val="100"/>
          <w:shd w:fill="auto" w:val="clear"/>
          <w:lang w:val="en-US" w:eastAsia="en-US" w:bidi="en-US"/>
        </w:rPr>
        <w:t>Drittens und grundsätzlicher gibt es das grundlegende Problem der Mehrheitsverpflichtung. Schon weil Politik zumindest teilweise auf Konflikten beruht, kann nicht immer mit Einstimmigkeit gerechnet werden, und gerade bei der dissidenten Minderheit stellt sich das Problem der Verbindlichkeit am stärksten und interessantesten. Unabhängig davon, ob die Zustimmung im starken oder im schwachen Sinne betrachtet wird, gibt es ein Problem im Fall derjenigen, die nicht zugestimmt haben; Wenn wir festgestellt haben, dass die Mehrheit entschieden hat, können wir berechtigterweise fragen, aus welchen Gründen dies einen Unterschied machen soll.</w:t>
      </w:r>
    </w:p>
    <w:p>
      <w:pPr>
        <w:pStyle w:val="Flietext21"/>
        <w:keepNext w:val="false"/>
        <w:keepLines w:val="false"/>
        <w:widowControl w:val="false"/>
        <w:numPr>
          <w:ilvl w:val="0"/>
          <w:numId w:val="42"/>
        </w:numPr>
        <w:shd w:val="clear" w:color="auto" w:fill="auto"/>
        <w:tabs>
          <w:tab w:val="clear" w:pos="720"/>
          <w:tab w:val="left" w:pos="625" w:leader="none"/>
        </w:tabs>
        <w:bidi w:val="0"/>
        <w:spacing w:lineRule="auto" w:line="220" w:before="0" w:after="0"/>
        <w:ind w:left="0" w:right="0" w:firstLine="280"/>
        <w:jc w:val="both"/>
        <w:rPr/>
      </w:pPr>
      <w:r>
        <w:rPr>
          <w:color w:val="000000"/>
          <w:spacing w:val="0"/>
          <w:w w:val="100"/>
          <w:shd w:fill="auto" w:val="clear"/>
          <w:lang w:val="en-US" w:eastAsia="en-US" w:bidi="en-US"/>
        </w:rPr>
        <w:t>Besonders in seinem Vorwort zur Demokratischen Theorie (Chicago: University of Chicago Press, 1956); vgl. seine „Weiteren Reflexionen über ‚Die elitäre Theorie der Demokratie‘“, in The American Political Science Review, Vol. LX, Nr. 2.</w:t>
      </w:r>
    </w:p>
    <w:p>
      <w:pPr>
        <w:pStyle w:val="Flietext21"/>
        <w:keepNext w:val="false"/>
        <w:keepLines w:val="false"/>
        <w:widowControl w:val="false"/>
        <w:numPr>
          <w:ilvl w:val="0"/>
          <w:numId w:val="42"/>
        </w:numPr>
        <w:shd w:val="clear" w:color="auto" w:fill="auto"/>
        <w:tabs>
          <w:tab w:val="clear" w:pos="720"/>
          <w:tab w:val="left" w:pos="679" w:leader="none"/>
        </w:tabs>
        <w:bidi w:val="0"/>
        <w:spacing w:lineRule="auto" w:line="189" w:before="0" w:after="200"/>
        <w:ind w:left="0" w:right="0" w:firstLine="280"/>
        <w:jc w:val="both"/>
        <w:rPr/>
      </w:pPr>
      <w:r>
        <w:rPr>
          <w:color w:val="000000"/>
          <w:spacing w:val="0"/>
          <w:w w:val="100"/>
          <w:shd w:fill="auto" w:val="clear"/>
          <w:lang w:val="en-US" w:eastAsia="en-US" w:bidi="en-US"/>
        </w:rPr>
        <w:t>Plamenatz, op. zit.</w:t>
      </w:r>
    </w:p>
    <w:p>
      <w:pPr>
        <w:pStyle w:val="Flietext1"/>
        <w:keepNext w:val="false"/>
        <w:keepLines w:val="false"/>
        <w:widowControl w:val="false"/>
        <w:shd w:val="clear" w:color="auto" w:fill="auto"/>
        <w:bidi w:val="0"/>
        <w:spacing w:before="0" w:after="200"/>
        <w:ind w:left="0" w:right="0" w:firstLine="280"/>
        <w:jc w:val="both"/>
        <w:rPr/>
      </w:pPr>
      <w:r>
        <w:rPr>
          <w:color w:val="000000"/>
          <w:spacing w:val="0"/>
          <w:w w:val="100"/>
          <w:shd w:fill="auto" w:val="clear"/>
          <w:lang w:val="en-US" w:eastAsia="en-US" w:bidi="en-US"/>
        </w:rPr>
        <w:t>Es ist nicht ungewöhnlich, dass psychologische Faktoren in eine Diskussion über die Verpflichtung in einer Demokratie eingeschmuggelt werden. Flathman472 spricht von der Wahrscheinlichkeit des Gehorsams; Dorsey473 und Walzer474 von „Gefühlen“ der Verpflichtung. Genauer gesagt argumentiert Plamenatz, dass die Demokratie eher dazu neigt, eine freie Gesellschaft zu schaffen, als ein wohlwollender, weiser Despot, weil die Bemühungen des Despoten durch solche psychologischen Faktoren untergraben werden, wie das Wissen der Menschen, dass der Despot genau das Gegenteil regieren könnte, wenn er wollte, und B. weil der Bürger die Bestrafung in einer Demokratie akzeptiert, weil er weiß, dass er an der Gestaltung der Gesetze mitgewirkt hat.475 Das Problem bei solchen psychologischen Faktoren ist jedoch, dass sie weniger von objektiven als von subjektiven Faktoren abhängen. Erforderlich ist lediglich, dass der Bürger glaubt, an der Gestaltung des Gesetzes mitgewirkt zu haben, nicht, dass er dies tatsächlich getan hat. Als Enrage erklärte Jacques Roux:</w:t>
      </w:r>
    </w:p>
    <w:p>
      <w:pPr>
        <w:pStyle w:val="Flietext1"/>
        <w:keepNext w:val="false"/>
        <w:keepLines w:val="false"/>
        <w:widowControl w:val="false"/>
        <w:shd w:val="clear" w:color="auto" w:fill="auto"/>
        <w:bidi w:val="0"/>
        <w:spacing w:lineRule="auto" w:line="252" w:before="0" w:after="260"/>
        <w:ind w:left="240" w:right="0" w:firstLine="380"/>
        <w:jc w:val="left"/>
        <w:rPr/>
      </w:pPr>
      <w:r>
        <w:rPr>
          <w:color w:val="000000"/>
          <w:spacing w:val="0"/>
          <w:w w:val="100"/>
          <w:shd w:fill="auto" w:val="clear"/>
          <w:vertAlign w:val="superscript"/>
          <w:lang w:val="en-US" w:eastAsia="en-US" w:bidi="en-US"/>
        </w:rPr>
        <w:t>der senatorische Despotismus ist so schrecklich wie das Zepter der Könige, weil er das Volk ohne sein Wissen fesselt und es durch Gesetze unterjocht, die es selbst gemacht haben soll476</w:t>
      </w:r>
    </w:p>
    <w:p>
      <w:pPr>
        <w:pStyle w:val="Flietext1"/>
        <w:keepNext w:val="false"/>
        <w:keepLines w:val="false"/>
        <w:widowControl w:val="false"/>
        <w:shd w:val="clear" w:color="auto" w:fill="auto"/>
        <w:bidi w:val="0"/>
        <w:spacing w:before="0" w:after="260"/>
        <w:ind w:left="0" w:right="0" w:hanging="0"/>
        <w:jc w:val="both"/>
        <w:rPr/>
      </w:pPr>
      <w:r>
        <w:rPr>
          <w:color w:val="000000"/>
          <w:spacing w:val="0"/>
          <w:w w:val="100"/>
          <w:shd w:fill="auto" w:val="clear"/>
          <w:lang w:val="en-US" w:eastAsia="en-US" w:bidi="en-US"/>
        </w:rPr>
        <w:t>Die Frage ist nicht, ob das Volk es tut, sondern ob es sich zum Gehorsam verpflichtet fühlen soll; Gesucht wird nicht eine Beschreibung des Gemütszustandes eines demokratischen Bürgers, sondern eine Handlungsvorschrift, und psychologische Faktoren sind peripher.</w:t>
      </w:r>
    </w:p>
    <w:p>
      <w:pPr>
        <w:pStyle w:val="Flietext21"/>
        <w:keepNext w:val="false"/>
        <w:keepLines w:val="false"/>
        <w:widowControl w:val="false"/>
        <w:numPr>
          <w:ilvl w:val="0"/>
          <w:numId w:val="42"/>
        </w:numPr>
        <w:shd w:val="clear" w:color="auto" w:fill="auto"/>
        <w:tabs>
          <w:tab w:val="clear" w:pos="720"/>
          <w:tab w:val="left" w:pos="644" w:leader="none"/>
        </w:tabs>
        <w:bidi w:val="0"/>
        <w:spacing w:lineRule="auto" w:line="213" w:before="0" w:after="0"/>
        <w:ind w:left="0" w:right="0" w:firstLine="280"/>
        <w:jc w:val="both"/>
        <w:rPr/>
      </w:pPr>
      <w:r>
        <w:rPr>
          <w:color w:val="000000"/>
          <w:spacing w:val="0"/>
          <w:w w:val="100"/>
          <w:shd w:fill="auto" w:val="clear"/>
          <w:lang w:val="en-US" w:eastAsia="en-US" w:bidi="en-US"/>
        </w:rPr>
        <w:t>Richard E. Flathman, „Obligation, Ideals and Ability“, in Nomos XII: Political and Legal Obligation, hrsg. von Pennock &amp; Chapman (New York: Atherton Press, 1970).</w:t>
      </w:r>
    </w:p>
    <w:p>
      <w:pPr>
        <w:pStyle w:val="Flietext21"/>
        <w:keepNext w:val="false"/>
        <w:keepLines w:val="false"/>
        <w:widowControl w:val="false"/>
        <w:numPr>
          <w:ilvl w:val="0"/>
          <w:numId w:val="42"/>
        </w:numPr>
        <w:shd w:val="clear" w:color="auto" w:fill="auto"/>
        <w:tabs>
          <w:tab w:val="clear" w:pos="720"/>
          <w:tab w:val="left" w:pos="698" w:leader="none"/>
        </w:tabs>
        <w:bidi w:val="0"/>
        <w:spacing w:lineRule="auto" w:line="189" w:before="0" w:after="0"/>
        <w:ind w:left="0" w:right="0" w:firstLine="280"/>
        <w:jc w:val="both"/>
        <w:rPr/>
      </w:pPr>
      <w:r>
        <w:rPr>
          <w:i/>
          <w:iCs/>
          <w:color w:val="000000"/>
          <w:spacing w:val="0"/>
          <w:w w:val="100"/>
          <w:shd w:fill="auto" w:val="clear"/>
          <w:lang w:val="en-US" w:eastAsia="en-US" w:bidi="en-US"/>
        </w:rPr>
        <w:t>Gray L. Dorsey, „Constitutional Obligation“, in Pennock &amp; Chapman, a.a.O. cit.</w:t>
      </w:r>
    </w:p>
    <w:p>
      <w:pPr>
        <w:pStyle w:val="Flietext21"/>
        <w:keepNext w:val="false"/>
        <w:keepLines w:val="false"/>
        <w:widowControl w:val="false"/>
        <w:numPr>
          <w:ilvl w:val="0"/>
          <w:numId w:val="42"/>
        </w:numPr>
        <w:shd w:val="clear" w:color="auto" w:fill="auto"/>
        <w:tabs>
          <w:tab w:val="clear" w:pos="720"/>
          <w:tab w:val="left" w:pos="698" w:leader="none"/>
        </w:tabs>
        <w:bidi w:val="0"/>
        <w:spacing w:lineRule="auto" w:line="189" w:before="0" w:after="0"/>
        <w:ind w:left="0" w:right="0" w:firstLine="280"/>
        <w:jc w:val="both"/>
        <w:rPr/>
      </w:pPr>
      <w:r>
        <w:rPr>
          <w:color w:val="000000"/>
          <w:spacing w:val="0"/>
          <w:w w:val="100"/>
          <w:shd w:fill="auto" w:val="clear"/>
          <w:lang w:val="en-US" w:eastAsia="en-US" w:bidi="en-US"/>
        </w:rPr>
        <w:t>Michael Walzer, Verpflichtungen (Cambridge, Mass.: Harvard University Press, 1970).</w:t>
      </w:r>
    </w:p>
    <w:p>
      <w:pPr>
        <w:pStyle w:val="Flietext21"/>
        <w:keepNext w:val="false"/>
        <w:keepLines w:val="false"/>
        <w:widowControl w:val="false"/>
        <w:numPr>
          <w:ilvl w:val="0"/>
          <w:numId w:val="42"/>
        </w:numPr>
        <w:shd w:val="clear" w:color="auto" w:fill="auto"/>
        <w:tabs>
          <w:tab w:val="clear" w:pos="720"/>
          <w:tab w:val="left" w:pos="698" w:leader="none"/>
        </w:tabs>
        <w:bidi w:val="0"/>
        <w:spacing w:lineRule="auto" w:line="189" w:before="0" w:after="0"/>
        <w:ind w:left="0" w:right="0" w:firstLine="280"/>
        <w:jc w:val="both"/>
        <w:rPr/>
      </w:pPr>
      <w:r>
        <w:rPr>
          <w:i/>
          <w:iCs/>
          <w:color w:val="000000"/>
          <w:spacing w:val="0"/>
          <w:w w:val="100"/>
          <w:shd w:fill="auto" w:val="clear"/>
          <w:lang w:val="en-US" w:eastAsia="en-US" w:bidi="en-US"/>
        </w:rPr>
        <w:t>Plamenatz, op. zit.</w:t>
      </w:r>
    </w:p>
    <w:p>
      <w:pPr>
        <w:pStyle w:val="Flietext21"/>
        <w:keepNext w:val="false"/>
        <w:keepLines w:val="false"/>
        <w:widowControl w:val="false"/>
        <w:numPr>
          <w:ilvl w:val="0"/>
          <w:numId w:val="42"/>
        </w:numPr>
        <w:shd w:val="clear" w:color="auto" w:fill="auto"/>
        <w:tabs>
          <w:tab w:val="clear" w:pos="720"/>
          <w:tab w:val="left" w:pos="644" w:leader="none"/>
        </w:tabs>
        <w:bidi w:val="0"/>
        <w:spacing w:lineRule="auto" w:line="213" w:before="0" w:after="200"/>
        <w:ind w:left="0" w:right="0" w:firstLine="280"/>
        <w:jc w:val="both"/>
        <w:rPr/>
      </w:pPr>
      <w:r>
        <w:rPr>
          <w:color w:val="000000"/>
          <w:spacing w:val="0"/>
          <w:w w:val="100"/>
          <w:shd w:fill="auto" w:val="clear"/>
          <w:lang w:val="en-US" w:eastAsia="en-US" w:bidi="en-US"/>
        </w:rPr>
        <w:t>Zitiert in George Woodcock, Anarchism: A History of Libertarian Ideas and Movements (Harmondsworth, England: Penguin Books Ltd., 1962), p. 53.</w:t>
      </w:r>
    </w:p>
    <w:p>
      <w:pPr>
        <w:pStyle w:val="Flietext1"/>
        <w:keepNext w:val="false"/>
        <w:keepLines w:val="false"/>
        <w:widowControl w:val="false"/>
        <w:shd w:val="clear" w:color="auto" w:fill="auto"/>
        <w:bidi w:val="0"/>
        <w:spacing w:lineRule="auto" w:line="259" w:before="0" w:after="260"/>
        <w:ind w:left="0" w:right="0" w:firstLine="280"/>
        <w:jc w:val="both"/>
        <w:rPr/>
      </w:pPr>
      <w:r>
        <w:rPr>
          <w:color w:val="000000"/>
          <w:spacing w:val="0"/>
          <w:w w:val="100"/>
          <w:shd w:fill="auto" w:val="clear"/>
          <w:lang w:val="en-US" w:eastAsia="en-US" w:bidi="en-US"/>
        </w:rPr>
        <w:t>Das Argument für die Verpflichtung in einer Demokratie, wenn die Zustimmung in ihrer starken Form betrachtet wird, ist, dass die Handlung der Regierung die eigene Handlung des Einzelnen ist. Wie James Feminore Cooper es ausdrückte:</w:t>
      </w:r>
    </w:p>
    <w:p>
      <w:pPr>
        <w:pStyle w:val="Flietext1"/>
        <w:keepNext w:val="false"/>
        <w:keepLines w:val="false"/>
        <w:widowControl w:val="false"/>
        <w:shd w:val="clear" w:color="auto" w:fill="auto"/>
        <w:bidi w:val="0"/>
        <w:spacing w:lineRule="auto" w:line="252" w:before="0" w:after="260"/>
        <w:ind w:left="240" w:right="0" w:firstLine="380"/>
        <w:jc w:val="both"/>
        <w:rPr/>
      </w:pPr>
      <w:r>
        <w:rPr>
          <w:color w:val="000000"/>
          <w:spacing w:val="0"/>
          <w:w w:val="100"/>
          <w:shd w:fill="auto" w:val="clear"/>
          <w:vertAlign w:val="superscript"/>
          <w:lang w:val="en-US" w:eastAsia="en-US" w:bidi="en-US"/>
        </w:rPr>
        <w:t>Gehorsam gegenüber den Gesetzen und eine heilige Achtung der Rechte anderer sind zwingende öffentliche Pflichten des Bürgers. Da er ein „Gesetzgeber“ ist, sollte er kein „Gesetzesbrecher“ sein … Der Bürger, der den Ministern des Gesetzes bei allen Gelegenheiten eine fröhliche Hilfe leistet, hilft lediglich, seine eigene Macht aufrechtzuerhalten. 477</w:t>
      </w:r>
    </w:p>
    <w:p>
      <w:pPr>
        <w:pStyle w:val="Flietext1"/>
        <w:keepNext w:val="false"/>
        <w:keepLines w:val="false"/>
        <w:widowControl w:val="false"/>
        <w:shd w:val="clear" w:color="auto" w:fill="auto"/>
        <w:bidi w:val="0"/>
        <w:spacing w:before="0" w:after="0"/>
        <w:ind w:left="0" w:right="0" w:hanging="0"/>
        <w:jc w:val="both"/>
        <w:rPr/>
      </w:pPr>
      <w:r>
        <w:rPr>
          <w:color w:val="000000"/>
          <w:spacing w:val="0"/>
          <w:w w:val="100"/>
          <w:shd w:fill="auto" w:val="clear"/>
          <w:lang w:val="en-US" w:eastAsia="en-US" w:bidi="en-US"/>
        </w:rPr>
        <w:t>Da das Gesetz die eigene Entscheidung des Einzelnen ist, muss er es akzeptieren; Dies soll nicht heißen, dass eine solche Behauptung die Diskussion beendet, denn es würde unaufrichtig erscheinen, dem Einzelnen die Fähigkeit abzusprechen, seine Meinung zu ändern oder tiefere Implikationen seines Engagements zu entdecken, aber eine solche Beziehung zwischen individuellem Handeln und staatlicher Reaktion schafft eine starke Prima-facie-Fall.</w:t>
      </w:r>
    </w:p>
    <w:p>
      <w:pPr>
        <w:pStyle w:val="Flietext1"/>
        <w:keepNext w:val="false"/>
        <w:keepLines w:val="false"/>
        <w:widowControl w:val="false"/>
        <w:shd w:val="clear" w:color="auto" w:fill="auto"/>
        <w:bidi w:val="0"/>
        <w:spacing w:before="0" w:after="280"/>
        <w:ind w:left="0" w:right="0" w:firstLine="280"/>
        <w:jc w:val="both"/>
        <w:rPr/>
      </w:pPr>
      <w:r>
        <w:rPr>
          <w:color w:val="000000"/>
          <w:spacing w:val="0"/>
          <w:w w:val="100"/>
          <w:shd w:fill="auto" w:val="clear"/>
          <w:lang w:val="en-US" w:eastAsia="en-US" w:bidi="en-US"/>
        </w:rPr>
        <w:t>Das demokratietheoretische Problem besteht darin, die Zulässigkeit einer solchen Verbindung in einer idealen repräsentativen Demokratie nachzuweisen. Eine solche Bestimmung beseitigt auf einen Schlag eine Reihe von Ablenkungen. Erstens können wir jede rhetorische Beschwörung der direkten Demokratie als irrelevant und obskurant abtun478; Schlussfolgerungen, die für die Ergebnisse von Beratungen gelten, an denen alle teilnehmen, gelten nicht einfach oder direkt für Situationen, in denen fast alle Bürger nur in dem Maße teilnehmen, in dem sie an der Wahl eines Entscheidungsträgers mitwirken. Zweitens können Mängel in der Praxis ignoriert werden, da die Frage nicht ist, ob ein bestimmtes Land eine ideale Demokratie ist, sondern nur die Grundlage und das Ausmaß der Verpflichtung in einer idealen Demokratie (obwohl ersteres durchaus eingreifen könnte, wenn es darum geht, die resultierende Formel anzuwenden in jedem konkreten Fall). Die Rationalitätsannahme des Wählers angesichts vieler empirischer Studien, die die Irrationalität vieler Wahlentscheidungen belegen, wird aus ähnlichen Gründen zugelassen. Drittens kann der Vorschlag, dass eine komplexe Gesellschaft die Verwaltung durch einen spezialisierten und professionellen öffentlichen Dienst erfordert und jede sinnvolle Verwaltung durch eine zahlreiche gewählte Versammlung disqualifiziert, beiseite gelassen werden, auch wenn die Gefahr besteht, dass die Untersuchung auf ein Spiel im Elfenbeinturm reduziert wird.</w:t>
      </w:r>
    </w:p>
    <w:p>
      <w:pPr>
        <w:pStyle w:val="Flietext21"/>
        <w:keepNext w:val="false"/>
        <w:keepLines w:val="false"/>
        <w:widowControl w:val="false"/>
        <w:numPr>
          <w:ilvl w:val="0"/>
          <w:numId w:val="42"/>
        </w:numPr>
        <w:shd w:val="clear" w:color="auto" w:fill="auto"/>
        <w:tabs>
          <w:tab w:val="clear" w:pos="720"/>
          <w:tab w:val="left" w:pos="625" w:leader="none"/>
        </w:tabs>
        <w:bidi w:val="0"/>
        <w:spacing w:lineRule="auto" w:line="213" w:before="0" w:after="0"/>
        <w:ind w:left="0" w:right="0" w:firstLine="280"/>
        <w:jc w:val="both"/>
        <w:rPr/>
      </w:pPr>
      <w:r>
        <w:rPr>
          <w:color w:val="000000"/>
          <w:spacing w:val="0"/>
          <w:w w:val="100"/>
          <w:shd w:fill="auto" w:val="clear"/>
          <w:lang w:val="en-US" w:eastAsia="en-US" w:bidi="en-US"/>
        </w:rPr>
        <w:t>James Feminore Cooper, The American Democrat (Harmondsworth, England: Penguin Books Ltd.), p. 53.</w:t>
      </w:r>
    </w:p>
    <w:p>
      <w:pPr>
        <w:pStyle w:val="Flietext21"/>
        <w:keepNext w:val="false"/>
        <w:keepLines w:val="false"/>
        <w:widowControl w:val="false"/>
        <w:numPr>
          <w:ilvl w:val="0"/>
          <w:numId w:val="42"/>
        </w:numPr>
        <w:shd w:val="clear" w:color="auto" w:fill="auto"/>
        <w:tabs>
          <w:tab w:val="clear" w:pos="720"/>
          <w:tab w:val="left" w:pos="639" w:leader="none"/>
        </w:tabs>
        <w:bidi w:val="0"/>
        <w:spacing w:lineRule="auto" w:line="189" w:before="0" w:after="200"/>
        <w:ind w:left="0" w:right="0" w:firstLine="240"/>
        <w:jc w:val="left"/>
        <w:rPr/>
      </w:pPr>
      <w:r>
        <w:rPr>
          <w:color w:val="000000"/>
          <w:spacing w:val="0"/>
          <w:w w:val="100"/>
          <w:shd w:fill="auto" w:val="clear"/>
          <w:lang w:val="en-US" w:eastAsia="en-US" w:bidi="en-US"/>
        </w:rPr>
        <w:t>siehe Anhang</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Das Problem besteht darin, die Verpflichtung der Bürger gegenüber Gesetzen zu erklären, die von von diesen Bürgern gewählten Mitgliedern erlassen wurden, und das hat nichts mit dem griechischen Pnyx oder dem sächsischen Streit zu tun; das entsprechende Modell postuliert einen theoretischen Wähler, der sowohl rational als auch informiert ist und mit seinen Mitbürgern einen Vertreter wählt, der für alle Bürger seines Wahlkreises sprechen soll. Die Grundlage für diese Auswahl kann entweder die Persönlichkeit des Kandidaten sein (ein Vorschlag, der durch den Wahlerfolg von Filmstars und Fußballhelden immer wieder plausibel wird), sein Urteilsvermögen und seine Weisheit (Burke,479 Dubs,480 Kendall und Carey481) oder, plausibler und verantwortungsbewusster , die Politik, zu deren Unterstützung er sich verpflichtet. Was auch immer die Grundlage für seine Auswahl ist, die primäre Kontrolle, die die Wähler über ihren Vertreter behalten (neben seinem Gewissen), ist die Sanktion, ihm die Wiederwahl zu verweigern – eine Sanktion, die durch die Tatsache plausibler wird, dass diese Wähler sowohl rational als auch informiert sind – ergänzt durch ein begrenztes Maß an intermittierender Interaktion.</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Gesetze werden nicht von Bürgern, sondern von ihren Vertretern gemacht, und das starke Gefühl der Zustimmung gilt nur, wenn man einen unmittelbaren Zusammenhang zwischen der Auswahl des Personals und der Festlegung der Politik nachweisen kann. Es reicht aus, auf einige signifikante Probleme hinzuweisen, wenn es darum geht, eine solche Verbindung rigoros zu demonstrieren.</w:t>
      </w:r>
    </w:p>
    <w:p>
      <w:pPr>
        <w:pStyle w:val="Flietext1"/>
        <w:keepNext w:val="false"/>
        <w:keepLines w:val="false"/>
        <w:widowControl w:val="false"/>
        <w:shd w:val="clear" w:color="auto" w:fill="auto"/>
        <w:bidi w:val="0"/>
        <w:spacing w:before="0" w:after="280"/>
        <w:ind w:left="0" w:right="0" w:firstLine="280"/>
        <w:jc w:val="both"/>
        <w:rPr/>
      </w:pPr>
      <w:r>
        <w:rPr>
          <w:color w:val="000000"/>
          <w:spacing w:val="0"/>
          <w:w w:val="100"/>
          <w:shd w:fill="auto" w:val="clear"/>
          <w:lang w:val="en-US" w:eastAsia="en-US" w:bidi="en-US"/>
        </w:rPr>
        <w:t>Welcher moralische Zusammenhang besteht zwischen dem Wähler und den fortgesetzten Handlungen seines Vertreters zwischen den Wahlen? Theoretiker wie Tussman568 und Plamenatz569 versuchen das Problem zu lösen, indem sie den Repräsentanten als Agenten seiner Wähler betrachten; In diesem Konzept der Agentur liegt die moralische Verbindung zwischen Repräsentant und Repräsentiertem. Was die Leute am Wahltag tun, ist, einen Agenten zu wählen, der sie bis zu den nächsten Wahlen vertritt; sie stimmen den Handlungen ihres Vertreters zu und sind an seine Versprechen wie an ihre eigenen gebunden, denn das ist es, was „Agent“ bedeutet. Mit diesem einfachen Definitionsapparat ist das Problem der Anpassung der direktdemokratischen Konsenstheorie an repräsentative demokratische Situationen angeblich zumindest in dieser wichtigen Hinsicht gelöst. Zwischen dem Wähler und den Gesetzen wird eine starke moralische Verbindung hergestellt; Gesetze sind für den einzelnen Wähler bindend, weil sie von ihm autorisiert sind.</w:t>
      </w:r>
    </w:p>
    <w:p>
      <w:pPr>
        <w:pStyle w:val="Flietext21"/>
        <w:keepNext w:val="false"/>
        <w:keepLines w:val="false"/>
        <w:widowControl w:val="false"/>
        <w:numPr>
          <w:ilvl w:val="0"/>
          <w:numId w:val="42"/>
        </w:numPr>
        <w:shd w:val="clear" w:color="auto" w:fill="auto"/>
        <w:tabs>
          <w:tab w:val="clear" w:pos="720"/>
          <w:tab w:val="left" w:pos="639" w:leader="none"/>
        </w:tabs>
        <w:bidi w:val="0"/>
        <w:spacing w:lineRule="auto" w:line="189" w:before="0" w:after="0"/>
        <w:ind w:left="0" w:right="0" w:firstLine="240"/>
        <w:jc w:val="left"/>
        <w:rPr/>
      </w:pPr>
      <w:r>
        <w:rPr>
          <w:i/>
          <w:iCs/>
          <w:color w:val="000000"/>
          <w:spacing w:val="0"/>
          <w:w w:val="100"/>
          <w:shd w:fill="auto" w:val="clear"/>
          <w:lang w:val="en-US" w:eastAsia="en-US" w:bidi="en-US"/>
        </w:rPr>
        <w:t>In der viel zitierten Rede an die Kurfürsten von Bristol.</w:t>
      </w:r>
    </w:p>
    <w:p>
      <w:pPr>
        <w:pStyle w:val="Flietext21"/>
        <w:keepNext w:val="false"/>
        <w:keepLines w:val="false"/>
        <w:widowControl w:val="false"/>
        <w:numPr>
          <w:ilvl w:val="0"/>
          <w:numId w:val="42"/>
        </w:numPr>
        <w:shd w:val="clear" w:color="auto" w:fill="auto"/>
        <w:tabs>
          <w:tab w:val="clear" w:pos="720"/>
          <w:tab w:val="left" w:pos="625" w:leader="none"/>
        </w:tabs>
        <w:bidi w:val="0"/>
        <w:spacing w:lineRule="auto" w:line="213" w:before="0" w:after="0"/>
        <w:ind w:left="0" w:right="0" w:firstLine="280"/>
        <w:jc w:val="both"/>
        <w:rPr/>
      </w:pPr>
      <w:r>
        <w:rPr>
          <w:color w:val="000000"/>
          <w:spacing w:val="0"/>
          <w:w w:val="100"/>
          <w:shd w:fill="auto" w:val="clear"/>
          <w:lang w:val="en-US" w:eastAsia="en-US" w:bidi="en-US"/>
        </w:rPr>
        <w:t>Homer H. Dubs, „Die logische Ableitung der Demokratie“, in Ethik, Bd. LV Nr. 3 (April 1945), p. 204.</w:t>
      </w:r>
    </w:p>
    <w:p>
      <w:pPr>
        <w:pStyle w:val="Flietext21"/>
        <w:keepNext w:val="false"/>
        <w:keepLines w:val="false"/>
        <w:widowControl w:val="false"/>
        <w:numPr>
          <w:ilvl w:val="0"/>
          <w:numId w:val="42"/>
        </w:numPr>
        <w:shd w:val="clear" w:color="auto" w:fill="auto"/>
        <w:tabs>
          <w:tab w:val="clear" w:pos="720"/>
          <w:tab w:val="left" w:pos="625" w:leader="none"/>
        </w:tabs>
        <w:bidi w:val="0"/>
        <w:spacing w:lineRule="auto" w:line="213" w:before="0" w:after="200"/>
        <w:ind w:left="0" w:right="0" w:firstLine="280"/>
        <w:jc w:val="both"/>
        <w:rPr/>
      </w:pPr>
      <w:r>
        <w:rPr>
          <w:color w:val="000000"/>
          <w:spacing w:val="0"/>
          <w:w w:val="100"/>
          <w:shd w:fill="auto" w:val="clear"/>
          <w:lang w:val="en-US" w:eastAsia="en-US" w:bidi="en-US"/>
        </w:rPr>
        <w:t>Willmoore Kendall und George W. Carey, „The ‚Intensity‘ Problem and Democratic Theory“, in The American Political Science Review, Bd. LXII Nr. 1 (März 1968), p. 22.</w:t>
      </w:r>
    </w:p>
    <w:p>
      <w:pPr>
        <w:pStyle w:val="Flietext1"/>
        <w:keepNext w:val="false"/>
        <w:keepLines w:val="false"/>
        <w:widowControl w:val="false"/>
        <w:shd w:val="clear" w:color="auto" w:fill="auto"/>
        <w:bidi w:val="0"/>
        <w:spacing w:before="0" w:after="280"/>
        <w:ind w:left="0" w:right="0" w:firstLine="280"/>
        <w:jc w:val="both"/>
        <w:rPr/>
      </w:pPr>
      <w:r>
        <w:rPr>
          <w:color w:val="000000"/>
          <w:spacing w:val="0"/>
          <w:w w:val="100"/>
          <w:shd w:fill="auto" w:val="clear"/>
          <w:lang w:val="en-US" w:eastAsia="en-US" w:bidi="en-US"/>
        </w:rPr>
        <w:t>Das offensichtliche Problem der Verpflichtung der Unterstützer des/der unterlegenen Kandidaten scheint Plamenatz verwirrt zu haben, und seine Behandlung lässt Zweifel am gesamten Modell aufkommen. In der Erstauflage seines Consent, Freedom and Political Obligation hielt er sie für möglicherweise noch zum Gehorsam verpflichtet, aber nicht aufgrund ihrer Teilnahme568 – das heißt, die Agententheorie gilt nur für diejenigen, die für erfolgreiche Kandidaten stimmen. Diese Zustimmung ist nicht die einzige Grundlage für die Verpflichtung. In der zweiten Auflage gab Plamenatz diese Haltung jedoch auf und argumentierte, dass die Wähler durch die Tatsache der Teilnahme verpflichtet seien, unabhängig davon, ob dies im Namen eines siegreichen oder unterlegenen Kandidaten geschah,569 und führte damit eine stillschweigende Zustimmung ein, von der er sagt:</w:t>
      </w:r>
    </w:p>
    <w:p>
      <w:pPr>
        <w:pStyle w:val="Flietext1"/>
        <w:keepNext w:val="false"/>
        <w:keepLines w:val="false"/>
        <w:widowControl w:val="false"/>
        <w:shd w:val="clear" w:color="auto" w:fill="auto"/>
        <w:bidi w:val="0"/>
        <w:spacing w:lineRule="auto" w:line="240" w:before="0" w:after="280"/>
        <w:ind w:left="240" w:right="0" w:firstLine="380"/>
        <w:jc w:val="left"/>
        <w:rPr/>
      </w:pPr>
      <w:r>
        <w:rPr>
          <w:color w:val="000000"/>
          <w:spacing w:val="0"/>
          <w:w w:val="100"/>
          <w:shd w:fill="auto" w:val="clear"/>
          <w:vertAlign w:val="superscript"/>
          <w:lang w:val="en-US" w:eastAsia="en-US" w:bidi="en-US"/>
        </w:rPr>
        <w:t>Das Wort „stillschweigend“ kann die Art der Einwilligung nicht ändern; es kann nur die Art seines Ausdrucks angeben. Entweder gab es eine Zustimmung oder nicht.486</w:t>
      </w:r>
    </w:p>
    <w:p>
      <w:pPr>
        <w:pStyle w:val="Flietext1"/>
        <w:keepNext w:val="false"/>
        <w:keepLines w:val="false"/>
        <w:widowControl w:val="false"/>
        <w:shd w:val="clear" w:color="auto" w:fill="auto"/>
        <w:bidi w:val="0"/>
        <w:spacing w:before="0" w:after="0"/>
        <w:ind w:left="0" w:right="0" w:hanging="0"/>
        <w:jc w:val="both"/>
        <w:rPr/>
      </w:pPr>
      <w:r>
        <w:rPr>
          <w:color w:val="000000"/>
          <w:spacing w:val="0"/>
          <w:w w:val="100"/>
          <w:shd w:fill="auto" w:val="clear"/>
          <w:lang w:val="en-US" w:eastAsia="en-US" w:bidi="en-US"/>
        </w:rPr>
        <w:t>Dies scheint offensichtlich falsch zu sein; zu behaupten, dass die Frage, für wen eine Person gestimmt hat, für den Grad ihrer Verpflichtung irrelevant ist, ist ein klassisches Beispiel dafür, was passiert, wenn ein komplexes Phänomen in ein Schema gezwungen wird, das zu einfach ist, um es zu enthalten. Darüber hinaus impliziert es eine so drastische Verwässerung des Konzepts des Agenten, dass seine Nützlichkeit ernsthaft untergraben wird. Um dies zu demonstrieren, betrachten wir eine Reihe von Bürgergruppen.</w:t>
      </w:r>
    </w:p>
    <w:p>
      <w:pPr>
        <w:pStyle w:val="Flietext1"/>
        <w:keepNext w:val="false"/>
        <w:keepLines w:val="false"/>
        <w:widowControl w:val="false"/>
        <w:shd w:val="clear" w:color="auto" w:fill="auto"/>
        <w:bidi w:val="0"/>
        <w:spacing w:before="0" w:after="0"/>
        <w:ind w:left="0" w:right="0" w:firstLine="300"/>
        <w:jc w:val="both"/>
        <w:rPr/>
      </w:pPr>
      <w:r>
        <w:rPr>
          <w:color w:val="000000"/>
          <w:spacing w:val="0"/>
          <w:w w:val="100"/>
          <w:shd w:fill="auto" w:val="clear"/>
          <w:lang w:val="en-US" w:eastAsia="en-US" w:bidi="en-US"/>
        </w:rPr>
        <w:t>Erstens können wir in Bezug auf alle Bürger, ob sie wählen oder nicht, die gleiche Wirkung des von Plamenatz erwähnten, aber nie ausgearbeiteten Grundelements der Verpflichtung annehmen, das vermutlich von grundlegenden Qualitäten der Politik abgeleitet ist.</w:t>
      </w:r>
    </w:p>
    <w:p>
      <w:pPr>
        <w:pStyle w:val="Flietext1"/>
        <w:keepNext w:val="false"/>
        <w:keepLines w:val="false"/>
        <w:widowControl w:val="false"/>
        <w:shd w:val="clear" w:color="auto" w:fill="auto"/>
        <w:bidi w:val="0"/>
        <w:spacing w:before="0" w:after="0"/>
        <w:ind w:left="0" w:right="0" w:firstLine="300"/>
        <w:jc w:val="both"/>
        <w:rPr/>
      </w:pPr>
      <w:r>
        <w:rPr>
          <w:color w:val="000000"/>
          <w:spacing w:val="0"/>
          <w:w w:val="100"/>
          <w:shd w:fill="auto" w:val="clear"/>
          <w:lang w:val="en-US" w:eastAsia="en-US" w:bidi="en-US"/>
        </w:rPr>
        <w:t>Zweitens gibt es den Fall derjenigen, die für einen erfolgreichen Kandidaten gestimmt haben. Es scheint nicht unangemessen, die Stimmabgabe für X als Kommission für X als Vertreter des Wählers darzustellen, wobei die Kommission wirksam wird, wenn X die Wahl gewinnt. Die Tatsache der geheimen Wahl ändert nichts, da der Wähler weiß, ob er für X gestimmt hat oder nicht und ob X eine solche Kommission hat, die in seinem Namen handelt.</w:t>
      </w:r>
    </w:p>
    <w:p>
      <w:pPr>
        <w:pStyle w:val="Flietext1"/>
        <w:keepNext w:val="false"/>
        <w:keepLines w:val="false"/>
        <w:widowControl w:val="false"/>
        <w:shd w:val="clear" w:color="auto" w:fill="auto"/>
        <w:bidi w:val="0"/>
        <w:spacing w:before="0" w:after="220"/>
        <w:ind w:left="0" w:right="0" w:firstLine="300"/>
        <w:jc w:val="both"/>
        <w:rPr/>
      </w:pPr>
      <w:r>
        <w:rPr>
          <w:color w:val="000000"/>
          <w:spacing w:val="0"/>
          <w:w w:val="100"/>
          <w:shd w:fill="auto" w:val="clear"/>
          <w:lang w:val="en-US" w:eastAsia="en-US" w:bidi="en-US"/>
        </w:rPr>
        <w:t>Drittens gibt es den Fall derjenigen, die für einen erfolglosen Kandidaten gestimmt haben. Sollen wir suggerieren, dass sie genauso verpflichtet sind wie Unterstützer des erfolgreichen Kandidaten, weil der Wähler nicht dem einzelnen Mitglied, sondern dem System zustimmt? Aber das führt zu unglaublichen Ergebnissen. Angenommen, es kandidiert ein Kandidat, dessen zentrales Ziel die Einweisung aller Rothaarigen in psychiatrische Anstalten ist, und nehmen Sie weiter an, dass er sogar Erfolgsaussichten hat. Es scheint merkwürdig zu argumentieren, dass man sich durch den aktiven Versuch, den Mann zu besiegen, fest dazu verpflichtet, ihm dabei zu helfen, Rothaarige zur Strecke zu bringen, wenn er gewählt wird, wobei die Verpflichtung umso stärker ist, als ein Thema die Kampagne dominierte. Was Plamenatz mit einem solchen Vorschlag impliziert, ist, dass, während die Unterstützer des erfolgreichen Kandidaten durch ihre Stimme den Wunsch zum Ausdruck bringen, eine bestimmte Person als ihren Vertreter zu beauftragen, Unterstützer von erfolglosen Kandidaten durch eine äußerlich ähnliche Handlung nur den Wunsch zum Ausdruck bringen, einen zu haben Agent.</w:t>
      </w:r>
    </w:p>
    <w:p>
      <w:pPr>
        <w:pStyle w:val="Flietext21"/>
        <w:keepNext w:val="false"/>
        <w:keepLines w:val="false"/>
        <w:widowControl w:val="false"/>
        <w:numPr>
          <w:ilvl w:val="0"/>
          <w:numId w:val="43"/>
        </w:numPr>
        <w:shd w:val="clear" w:color="auto" w:fill="auto"/>
        <w:tabs>
          <w:tab w:val="clear" w:pos="720"/>
          <w:tab w:val="left" w:pos="639" w:leader="none"/>
        </w:tabs>
        <w:bidi w:val="0"/>
        <w:spacing w:lineRule="auto" w:line="240" w:before="0" w:after="220"/>
        <w:ind w:left="0" w:right="0" w:firstLine="240"/>
        <w:jc w:val="left"/>
        <w:rPr/>
      </w:pPr>
      <w:r>
        <w:rPr>
          <w:color w:val="000000"/>
          <w:spacing w:val="0"/>
          <w:w w:val="100"/>
          <w:shd w:fill="auto" w:val="clear"/>
          <w:lang w:val="en-US" w:eastAsia="en-US" w:bidi="en-US"/>
        </w:rPr>
        <w:t>Ebd., p. 7.</w:t>
      </w:r>
    </w:p>
    <w:p>
      <w:pPr>
        <w:pStyle w:val="Flietext1"/>
        <w:keepNext w:val="false"/>
        <w:keepLines w:val="false"/>
        <w:widowControl w:val="false"/>
        <w:shd w:val="clear" w:color="auto" w:fill="auto"/>
        <w:bidi w:val="0"/>
        <w:spacing w:before="0" w:after="0"/>
        <w:ind w:left="0" w:right="0" w:firstLine="300"/>
        <w:jc w:val="both"/>
        <w:rPr/>
      </w:pPr>
      <w:r>
        <w:rPr>
          <w:color w:val="000000"/>
          <w:spacing w:val="0"/>
          <w:w w:val="100"/>
          <w:shd w:fill="auto" w:val="clear"/>
          <w:lang w:val="en-US" w:eastAsia="en-US" w:bidi="en-US"/>
        </w:rPr>
        <w:t>Dies wirft die weitere Frage auf, was genau die Wähler tun, wenn sie einen Agenten beauftragen. Es scheint, dass eine Carte-Blanche-Autorisierung eines Agenten der Inbegriff von Verantwortungslosigkeit ist, aber das wird es, wenn Wähler, die gegen X gestimmt haben, X als Agenten beauftragt haben, nur weil X mehr Stimmen als jeder andere erhalten hat. Genauer gesagt würde man einem Agenten eine Provision auf der Grundlage einer vorherigen Verpflichtung von ihm zu bestimmten Aktionen ausstellen – beispielsweise durch seine Wahlversprechen. Durch diese Bestimmung kann gesagt werden, dass Unterstützer von X X als ihren Agenten autorisiert haben, ohne verantwortungslos zu sein; aber es folgt mit gleicher Strenge, dass nicht gesagt werden kann, dass Unterstützer von Y X bevollmächtigt haben, weil die früheren Verpflichtungen des Agenten, auf denen ihre Vermittlungsprovision beruhte, nicht identisch waren. Eine Stimme für einen anderen Kandidaten als den Siegerkandidaten kann den Siegerkandidaten nur dann zum Wählervertreter machen, wenn wir der Stimme jeglichen substanziellen Inhalt nehmen und sie unverantwortlich machen, wobei es an diesem Punkt schwer ist, den Vorwurf einer unverantwortlichen Handlung zu machen die Grundlage einer moralischen Verpflichtung. Daraus folgt, dass Plamenatz sein eigenes Konzept der Entscheidungsfreiheit untergräbt, wenn er uns zu dem Schluss auffordert, dass Wähler für unterlegene Kandidaten den Siegerkandidaten beauftragen, als ihr Vertreter zu fungieren. Wir können höchstens sagen, dass eine solche Agentur plausibel sein kann oder nicht, abhängig von der Überschneidung der früheren Verpflichtungen der potenziellen Agenten – mit dem offensichtlichen Vorbehalt, dass der Wahlprozess wieder trivial wird, wenn es keine signifikanten Unterschiede zwischen ihnen gibt und für einen solchen Zweck unbrauchbar.</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Der Agent, der nicht durch diese vorherigen Verpflichtungen eingeschränkt ist, ist jedoch kein völlig freier Agent, und die Verpflichtung seiner eigenen Unterstützer muss nun im Laufe der Zeit einer Erosion unterliegen, da der Agent seine Versprechen nicht einhält oder Erwartungen nicht erfüllt. Da der Rechtsbegriff der Vertretung niemanden zur Begehung einer rechtswidrigen Handlung verpflichten kann, könnte dem Vertretenen auch unabhängig von der Provision keine sittenwidrige Verpflichtung auferlegt werden. Ein noch größerer Handlungsspielraum ist fraglich – da man im Wahlkampf nicht alle Probleme der Folgejahre vorhersehen kann, was passiert, wenn der Abgeordnete auf Situationen handlungsleitend reagieren muss? Die Logik der Agententheorie erfordert populistische Maßnahmen (Rückruf, Referendum usw.), deren Fehlen ihre Plausibilität nur untergraben kann, aber Plamenatz fühlt sich nicht veranlasst, sie zu fordern. In Ermangelung einer solchen können wir beobachten, dass der Vertreter mehr in der Beziehung seiner Wähler zu ihm (d. h. seine Handlungen sind für sie bindend) als in seiner Beziehung zu ihnen (d. h. die Möglichkeit der unmittelbaren Kontrolle, Ausbau oder Austausch).</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Viertens stellt sich die Frage nach dem Teil der Bevölkerung, der entweder nicht in den Genuss des Wahlrechts kam oder es ablehnte, es auszuüben. Weder direkt durch die Wahl des erfolgreichen Kandidaten noch indirekt durch die Teilnahme kann davon ausgegangen werden, dass sie jemanden autorisiert haben, als ihr Vertreter zu handeln.</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Welchen Nutzen hat dann das Agentenmodell der Repräsentation? Nichtwähler haben niemals einen Vertreter autorisiert und können daher nicht aufgenommen werden. Wähler für erfolglose Kandidaten können je nach der Überschneidung zwischen Wahlkampfversprechen ihres favorisierten Kandidaten und des Gewinners in sinnvoller Weise einen Agenten autorisiert haben oder auch nicht. Wähler für erfolgreiche Kandidaten haben einen Agenten für begrenzte Aktionen autorisiert, sind aber immer weniger gebunden, da ihr Agent auf neue Entwicklungen reagieren muss oder, schlimmer noch, da neue Entwicklungen Wahlversprechen unhaltbar machen. Schließlich löst sich die Agententheorie immer dann auf, wenn irgendjemand einen moralischen Einwand gegen eine Regierungshandlung verspürt oder wenn der Agent bei einer Parlamentsabstimmung in die Minderheit geraten ist. Die Agententheorie wird immer unanwendbarer, und das Gewicht fällt immer mehr auf die unerklärte Grundpflicht, die nichts mit Partizipation oder Handlungsmacht oder Zustimmung zu tun hatte. Plamenatz kann sein Agenturkonzept nur „retten“, indem er die Provision eines Agenten auf eine unverantwortliche Handlung reduziert; seine Schuldtheorie ist weniger unzulänglich als bankrott.</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Aber die Agency-Theorie erschöpft das Arsenal nicht; man kann stattdessen mit Parteien und Mandaten argumentieren. Obwohl unabhängige Einzelakteure weiterhin in der demokratischen Rhetorik auftauchen mögen, sind politische Parteien die Realität der zeitgenössischen demokratischen Politik. Um überhaupt wirksam zu sein, muss eine Partei ihre Mitglieder bis zu einem gewissen Grad im Voraus binden, und daher darf das Mitglied aufhören, ein freier Akteur zu sein, der nur den Launen und Wünschen seiner Wähler unterliegt – so weit so schlecht. Gleichzeitig füllen Parteien Lücken in der Demokratietheorie. Erstens, insofern die Sanktion der Wiederwahl für ein Mitglied bedeutungslos ist, das nicht beabsichtigt, erneut zu kandidieren, schafft die längere Lebensdauer der Partei eine größere Rechenschaftspflicht und damit Verantwortung. Zweitens, da die Bevölkerung vieler moderner Demokratien extrem mobil ist (bis zu 20 % in einem US-Kongressbezirk können dort zum ersten Mal wählen), erlauben nur nationale Parteien mobilen Einzelpersonen, Rechenschaft über vergangene Wahlen zu verlangen. Drittens hebt sich das Problem der Stimmenvertretung für unterlegene Kandidaten weitgehend auf (die Labour-Minderheit in Brighton ist vertreten, aber nicht durch den Abgeordneten für Brighton). Viertens machen große Parteien mit bestimmten Programmen Wahlergebnisse politisch effektiver als die Interaktion unabhängiger Mitglieder mit persönlichen Plattformen.</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Die Idee einer Carte Blanche moralischer Autorisierung einer Partei ist nicht akzeptabler als die einer Carte Blanche Agentur für eine Person, und es gibt darüber hinaus weitere Schwierigkeiten. Die moralische Bindung zwischen Wähler und siegreicher Partei wird oft von der Mandatstheorie geliefert, ein ebenso notwendiges wie absurdes Argument. Die Partei machte auf ihrer Plattform Wahlkampf; die Wähler haben es ins Amt gefegt, um etwas zu tun; „Offensichtlich“ ist das etwas die Plattform. Aber ist es „offensichtlich“? Wir können die Überlegung verwerfen, dass nur wenige Wähler einen Großteil des Parteiprogramms kennen; dies ist ein praktischer Mangel, der für die Plausibilität der Theorie irrelevant ist. Das Problem ist, dass selbst wenn alle Wähler nur auf der Grundlage des Parteiprogramms gewählt haben, dies immer noch nicht ausreicht, um nachzuweisen, dass eine Mehrheit der Wähler einen Punkt auf dem Programm der siegreichen Partei unterstützt hat, da jede einer begrenzten Anzahl von Parteien a abdecken muss große Anzahl von Problemen. Der Wähler gleicht einer Person, die gezwungen ist, in einem Supermarkt einzukaufen, indem sie einen von zwei (oder drei, oder vier oder sechs) bereits gefüllten Einkaufswagen nimmt; Er kann nur für einen vollen Einkaufswagen eine Auswahl treffen und kann keine Artikel zu einem Einkaufswagen hinzufügen oder daraus entfernen. Seine Wahl eines Wagens ist daher nicht dasselbe wie die getrennte Wahl jedes der darin enthaltenen Gegenstände. Eine siegreiche Partei kann nur erklären, dass mehr Wähler ihr Programm insgesamt mochten als das Programm irgendeiner anderen Partei, was offensichtlich wahr ist; Was es nicht tun kann, ist die Mehrheitsunterstützung für einen der Artikel auf seiner Plattform zu beanspruchen. Ihr Sieg kann das Ergebnis einer Koalition sehr unterschiedlicher Gruppen sein, die nichts gemeinsam haben als einen Feind; die Wahlergebnisse allein erlauben uns keine Aussage.</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Die Gewinnerparteien haben tatsächlich ein Mandat; Dieses Mandat besteht darin, sein Amt anzutreten. Darüber hinaus ist alles eine Vermutung und wird es noch mehr, wenn Probleme auftauchen, die nicht Teil der Kampagne waren. Die Vorstellung, dass Parteiplattformen ein detailliertes Mandat liefern, zu dem sich die Wähler verpflichtet haben, ist schlampiges Denken, das weit davon entfernt ist, das Problem der demokratischen Verpflichtung zu lösen oder die direkte Verantwortung der Wähler für jegliches Handeln der Regierung nachzuweisen, und das gilt selbst dann Wir glauben nicht, dass die Notwendigkeit, die Interessen verschiedener Gruppen zu aggregieren, Parteien dazu veranlassen kann, Listen mit Versprechen zu erstellen, die nicht streng kompatibel sind, oder ihre Plattformen mit hochtrabenden Plattitüden zu füllen.</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Weder die Agency-Theorie noch Parteien und Mandate werden das nötige Gewicht haben, um die Demokratie an eine starke Version der Konsenstheorie zu binden; Anstatt in Pessimismus und Verzweiflung zu verfallen, schlagen einige Autoren jedoch einen zusätzlichen Mechanismus für diesen Zweck vor und behaupten damit immer noch eine starke Verbindung zwischen Mehrheitswillen und Regierungshandeln. Ein Beispiel für ein solches Modell ist die pluralistische Demokratie, die oft Robert A. Dahl zugeschrieben wird.</w:t>
      </w:r>
    </w:p>
    <w:p>
      <w:pPr>
        <w:pStyle w:val="Flietext1"/>
        <w:keepNext w:val="false"/>
        <w:keepLines w:val="false"/>
        <w:widowControl w:val="false"/>
        <w:shd w:val="clear" w:color="auto" w:fill="auto"/>
        <w:bidi w:val="0"/>
        <w:spacing w:before="0" w:after="280"/>
        <w:ind w:left="0" w:right="0" w:hanging="0"/>
        <w:jc w:val="both"/>
        <w:rPr/>
      </w:pPr>
      <w:r>
        <w:rPr>
          <w:color w:val="000000"/>
          <w:spacing w:val="0"/>
          <w:w w:val="100"/>
          <w:shd w:fill="auto" w:val="clear"/>
          <w:vertAlign w:val="superscript"/>
          <w:lang w:val="en-US" w:eastAsia="en-US" w:bidi="en-US"/>
        </w:rPr>
        <w:t>(Die Zuschreibung kann nur auf frustrierend rückständige Weise aufrechterhalten werden – nicht umsonst wird sie als Vorwort zur Demokratietheorie bezeichnet. Er vernichtet Wahlen als Mittel zur Verwirklichung des Mehrheitswillens und demonstriert ihre Unzulänglichkeit mit mathematischer Präzision. Dabei ist er ein so scharfsinniger Autor wie Willmoore Kendall kann dennoch vorwerfen, dass Dahl das amerikanische politische Leben durch Wahlen erschöpft findet – insbesondere (und in Kendalls Augen noch vernichtender) durch Präsidentschaftswahlen.487 Obwohl die Anklage falsch ist, ist sie nicht überraschend, da Dahls positivere Vorschläge sehr leicht und vage sind ; er schlägt vor, dass die relative Meinungsintensität zwischen Gruppen für die Politik relevant ist und dass „Intensität einfach als Bezug auf eine beobachtbare Reaktion definiert werden kann, wie z. B. die Äußerung der eigenen Gefühle, die Bereitschaft, auf Freizeit zu verzichten usw. Ist das „etc.“ das Produkt von Naivität oder Ausweichmanöver?) Die einzigen Beispiele für Gruppen, die auftauchen, sind jedoch drei organisierte Gruppen und eine Kategorie – die PTA, ein Steuerzahler rs Association, die Kommunistische Partei und die Neger – und der einzige Hinweis, den wir auf ihre Aktivitäten erhalten, ist der Vorschlag, dass Gruppen, die es nicht auf die Ebene legitimer organisierter Aktivitäten schaffen, schlecht behandelt werden.489</w:t>
      </w:r>
    </w:p>
    <w:p>
      <w:pPr>
        <w:pStyle w:val="Flietext21"/>
        <w:keepNext w:val="false"/>
        <w:keepLines w:val="false"/>
        <w:widowControl w:val="false"/>
        <w:numPr>
          <w:ilvl w:val="0"/>
          <w:numId w:val="43"/>
        </w:numPr>
        <w:shd w:val="clear" w:color="auto" w:fill="auto"/>
        <w:tabs>
          <w:tab w:val="clear" w:pos="720"/>
          <w:tab w:val="left" w:pos="615" w:leader="none"/>
        </w:tabs>
        <w:bidi w:val="0"/>
        <w:spacing w:lineRule="auto" w:line="213" w:before="0" w:after="220"/>
        <w:ind w:left="0" w:right="0" w:firstLine="300"/>
        <w:jc w:val="both"/>
        <w:rPr/>
      </w:pPr>
      <w:r>
        <w:rPr>
          <w:color w:val="000000"/>
          <w:spacing w:val="0"/>
          <w:w w:val="100"/>
          <w:shd w:fill="auto" w:val="clear"/>
          <w:lang w:val="en-US" w:eastAsia="en-US" w:bidi="en-US"/>
        </w:rPr>
        <w:t>Willmoore Kendall, The Conservative Affirmation (Chicago: Henry Regnery Co., 1963), S. 33, 41.</w:t>
      </w:r>
    </w:p>
    <w:p>
      <w:pPr>
        <w:pStyle w:val="Flietext1"/>
        <w:keepNext w:val="false"/>
        <w:keepLines w:val="false"/>
        <w:widowControl w:val="false"/>
        <w:shd w:val="clear" w:color="auto" w:fill="auto"/>
        <w:bidi w:val="0"/>
        <w:spacing w:before="0" w:after="280"/>
        <w:ind w:left="0" w:right="0" w:firstLine="300"/>
        <w:jc w:val="both"/>
        <w:rPr/>
      </w:pPr>
      <w:r>
        <w:rPr>
          <w:color w:val="000000"/>
          <w:spacing w:val="0"/>
          <w:w w:val="100"/>
          <w:shd w:fill="auto" w:val="clear"/>
          <w:lang w:val="en-US" w:eastAsia="en-US" w:bidi="en-US"/>
        </w:rPr>
        <w:t>Im Mittelpunkt dieser Sichtweise steht die Betonung der direkten Beiträge organisierter Interessen zum politischen Prozess. Die vereinfachenden Annahmen lauten, dass Politik „zur optimalen Versöhnung der konkurrierenden Ansprüche von Sonder- und Privatinteressen“490 wird und dass „organisierte Interessen die meisten Sektoren unseres Lebens ziemlich gut ausfüllen und angemessen vertreten“.491 Innerhalb dieses Rahmens der Prozess der Gesetzgebung wird von Earl Latham begeistert beschrieben:</w:t>
      </w:r>
    </w:p>
    <w:p>
      <w:pPr>
        <w:pStyle w:val="Flietext1"/>
        <w:keepNext w:val="false"/>
        <w:keepLines w:val="false"/>
        <w:widowControl w:val="false"/>
        <w:shd w:val="clear" w:color="auto" w:fill="auto"/>
        <w:bidi w:val="0"/>
        <w:spacing w:before="0" w:after="260"/>
        <w:ind w:left="240" w:right="0" w:firstLine="380"/>
        <w:jc w:val="both"/>
        <w:rPr/>
      </w:pPr>
      <w:r>
        <w:rPr>
          <w:color w:val="000000"/>
          <w:spacing w:val="0"/>
          <w:w w:val="100"/>
          <w:shd w:fill="auto" w:val="clear"/>
          <w:vertAlign w:val="superscript"/>
          <w:lang w:val="en-US" w:eastAsia="en-US" w:bidi="en-US"/>
        </w:rPr>
        <w:t>Die Legislative leitet den Gruppenkampf, ratifiziert die Siege der erfolgreichen Koalitionen und hält die Bedingungen der Kapitulationen, Kompromisse und Eroberungen in Form von Statuen fest. Jedes Statut stellt tendenziell einen Kompromiss dar, da der Prozess der Bewältigung von Gruppeninteressenkonflikten ein Prozess der Überlegung und Zustimmung ist. Die gesetzgebende Abstimmung zu einem beliebigen Thema spiegelt in der Regel die Kräfteverhältnisse wider, dh das Kräftegleichgewicht zwischen den konkurrierenden Gruppen zum Zeitpunkt der Abstimmung. Was öffentliche Politik genannt werden kann, ist das Gleichgewicht, das in diesem Kampf zu jedem gegebenen Zeitpunkt erreicht wird, und es stellt ein Gleichgewicht dar, das die streitenden Fraktionen von Gruppen ständig bestrebt sind, zu ihren Gunsten zu gewichten.492</w:t>
      </w:r>
    </w:p>
    <w:p>
      <w:pPr>
        <w:pStyle w:val="Flietext21"/>
        <w:keepNext w:val="false"/>
        <w:keepLines w:val="false"/>
        <w:widowControl w:val="false"/>
        <w:numPr>
          <w:ilvl w:val="0"/>
          <w:numId w:val="43"/>
        </w:numPr>
        <w:shd w:val="clear" w:color="auto" w:fill="auto"/>
        <w:tabs>
          <w:tab w:val="clear" w:pos="720"/>
          <w:tab w:val="left" w:pos="679" w:leader="none"/>
        </w:tabs>
        <w:bidi w:val="0"/>
        <w:spacing w:lineRule="auto" w:line="189" w:before="0" w:after="0"/>
        <w:ind w:left="0" w:right="0" w:firstLine="280"/>
        <w:jc w:val="both"/>
        <w:rPr/>
      </w:pPr>
      <w:r>
        <w:rPr>
          <w:color w:val="000000"/>
          <w:spacing w:val="0"/>
          <w:w w:val="100"/>
          <w:shd w:fill="auto" w:val="clear"/>
          <w:lang w:val="en-US" w:eastAsia="en-US" w:bidi="en-US"/>
        </w:rPr>
        <w:t>Dahl, Vorwort zur Demokratischen Theorie, S. 101.</w:t>
      </w:r>
    </w:p>
    <w:p>
      <w:pPr>
        <w:pStyle w:val="Flietext21"/>
        <w:keepNext w:val="false"/>
        <w:keepLines w:val="false"/>
        <w:widowControl w:val="false"/>
        <w:numPr>
          <w:ilvl w:val="0"/>
          <w:numId w:val="43"/>
        </w:numPr>
        <w:shd w:val="clear" w:color="auto" w:fill="auto"/>
        <w:tabs>
          <w:tab w:val="clear" w:pos="720"/>
          <w:tab w:val="left" w:pos="679" w:leader="none"/>
        </w:tabs>
        <w:bidi w:val="0"/>
        <w:spacing w:lineRule="auto" w:line="189" w:before="0" w:after="0"/>
        <w:ind w:left="0" w:right="0" w:firstLine="280"/>
        <w:jc w:val="both"/>
        <w:rPr/>
      </w:pPr>
      <w:r>
        <w:rPr>
          <w:i/>
          <w:iCs/>
          <w:color w:val="000000"/>
          <w:spacing w:val="0"/>
          <w:w w:val="100"/>
          <w:shd w:fill="auto" w:val="clear"/>
          <w:lang w:val="en-US" w:eastAsia="en-US" w:bidi="en-US"/>
        </w:rPr>
        <w:t>Ebenda.</w:t>
      </w:r>
    </w:p>
    <w:p>
      <w:pPr>
        <w:pStyle w:val="Flietext21"/>
        <w:keepNext w:val="false"/>
        <w:keepLines w:val="false"/>
        <w:widowControl w:val="false"/>
        <w:numPr>
          <w:ilvl w:val="0"/>
          <w:numId w:val="43"/>
        </w:numPr>
        <w:shd w:val="clear" w:color="auto" w:fill="auto"/>
        <w:tabs>
          <w:tab w:val="clear" w:pos="720"/>
          <w:tab w:val="left" w:pos="625" w:leader="none"/>
        </w:tabs>
        <w:bidi w:val="0"/>
        <w:spacing w:lineRule="auto" w:line="220" w:before="0" w:after="0"/>
        <w:ind w:left="0" w:right="0" w:firstLine="280"/>
        <w:jc w:val="both"/>
        <w:rPr/>
      </w:pPr>
      <w:r>
        <w:rPr>
          <w:color w:val="000000"/>
          <w:spacing w:val="0"/>
          <w:w w:val="100"/>
          <w:shd w:fill="auto" w:val="clear"/>
          <w:lang w:val="en-US" w:eastAsia="en-US" w:bidi="en-US"/>
        </w:rPr>
        <w:t>Rowland Egger, „Responsibility in Administration: An Exploratory Essay“, in Public Administration and Democracy: Essays in Honor of Paul H. Appleby, hrsg. von Roscoe C. Martin (Syracuse, New York: Syracuse University Press, 1965A, S. 312.</w:t>
      </w:r>
    </w:p>
    <w:p>
      <w:pPr>
        <w:pStyle w:val="Flietext21"/>
        <w:keepNext w:val="false"/>
        <w:keepLines w:val="false"/>
        <w:widowControl w:val="false"/>
        <w:numPr>
          <w:ilvl w:val="0"/>
          <w:numId w:val="43"/>
        </w:numPr>
        <w:shd w:val="clear" w:color="auto" w:fill="auto"/>
        <w:tabs>
          <w:tab w:val="clear" w:pos="720"/>
          <w:tab w:val="left" w:pos="625" w:leader="none"/>
        </w:tabs>
        <w:bidi w:val="0"/>
        <w:spacing w:lineRule="auto" w:line="213" w:before="0" w:after="0"/>
        <w:ind w:left="0" w:right="0" w:firstLine="280"/>
        <w:jc w:val="both"/>
        <w:rPr/>
      </w:pPr>
      <w:r>
        <w:rPr>
          <w:color w:val="000000"/>
          <w:spacing w:val="0"/>
          <w:w w:val="100"/>
          <w:shd w:fill="auto" w:val="clear"/>
          <w:lang w:val="en-US" w:eastAsia="en-US" w:bidi="en-US"/>
        </w:rPr>
        <w:t>Theodore Lowi, „The Public Philosophy: Interest Group Liberalism“, in The American Political Science Review, Bd. LXI, Nr. 1 (März 1967), p. 12.</w:t>
      </w:r>
    </w:p>
    <w:p>
      <w:pPr>
        <w:pStyle w:val="Flietext21"/>
        <w:keepNext w:val="false"/>
        <w:keepLines w:val="false"/>
        <w:widowControl w:val="false"/>
        <w:numPr>
          <w:ilvl w:val="0"/>
          <w:numId w:val="43"/>
        </w:numPr>
        <w:shd w:val="clear" w:color="auto" w:fill="auto"/>
        <w:tabs>
          <w:tab w:val="clear" w:pos="720"/>
          <w:tab w:val="left" w:pos="679" w:leader="none"/>
        </w:tabs>
        <w:bidi w:val="0"/>
        <w:spacing w:lineRule="auto" w:line="189" w:before="0" w:after="200"/>
        <w:ind w:left="0" w:right="0" w:firstLine="280"/>
        <w:jc w:val="both"/>
        <w:rPr/>
      </w:pPr>
      <w:r>
        <w:rPr>
          <w:color w:val="000000"/>
          <w:spacing w:val="0"/>
          <w:w w:val="100"/>
          <w:shd w:fill="auto" w:val="clear"/>
          <w:lang w:val="en-US" w:eastAsia="en-US" w:bidi="en-US"/>
        </w:rPr>
        <w:t>Earl Latham, The Group Basis of Politics (Ithaca, N.Y.: Cornell University Press, 1952), p. 35.</w:t>
      </w:r>
    </w:p>
    <w:p>
      <w:pPr>
        <w:pStyle w:val="Flietext1"/>
        <w:keepNext w:val="false"/>
        <w:keepLines w:val="false"/>
        <w:widowControl w:val="false"/>
        <w:shd w:val="clear" w:color="auto" w:fill="auto"/>
        <w:bidi w:val="0"/>
        <w:spacing w:before="0" w:after="0"/>
        <w:ind w:left="0" w:right="0" w:hanging="0"/>
        <w:jc w:val="both"/>
        <w:rPr/>
      </w:pPr>
      <w:r>
        <w:rPr>
          <w:color w:val="000000"/>
          <w:spacing w:val="0"/>
          <w:w w:val="100"/>
          <w:shd w:fill="auto" w:val="clear"/>
          <w:lang w:val="en-US" w:eastAsia="en-US" w:bidi="en-US"/>
        </w:rPr>
        <w:t>und der einzige Grund, warum Gesetzgeber nicht „die träge Rolle einer Registrierkasse“ spielen, liegt darin, dass sie selbst eine Gruppe mit eigenen Interessen bilden.493 Als Mittel zur Beeinflussung der Politik ist die Auswahl des gesetzgebenden Personals für einen Bürger unendlich weniger effektiv als durch die Lobby seiner Interessengruppe zu agieren; Wahlen sind nicht mehr der Kern des Prozesses der Umwandlung des Mehrheitswillens in öffentliche Politik, sondern werden auf eine Ersatzrolle reduziert. Die Theorie postuliert tatsächlich zwei Wahlkreise (der Ausdruck ist Milibands), einer von wahlberechtigten Bürgern bevölkert und Personal produzierend, der zweite von „legitimen“ Interessengruppen (deren Mitglieder interessierte Bürger sind) bevölkert und Druck erzeugend, der die Politik bestimmt.</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Das Modell hat zwei entscheidende Vorteile. Erstens ist der Druck von Interessengruppen im Gegensatz zu Wahlen kontinuierlich, flexibel und reagiert unmittelbar auf Verschiebungen in der Meinungsverteilung unter der Wählerschaft, denn die Mitgliederzahl der Interessengruppen ist die gleiche wie die Wählerschaft, ausgenommen nur die Apathischen. Zweitens, während der belästigte Vertreter machtlos ist, eine umfangreiche Verwaltung einzudämmen oder zu kontrollieren, stehen Interessengruppen, denen Richtlinien aufgezwungen werden, notwendigerweise in enger und ständiger Beziehung und sind in der Lage, effektives Feedback und Kontrolle zu bieten. Das Beharren darauf, dass wir eine pluralistische Verwaltung sehen sollten, die einer pluralistischen Gesellschaft entspricht494, reduziert die Wirksamkeit und damit den Grad, in dem man sich durch die Wahl eines Mitglieds einer repräsentativen Versammlung verpflichtet, weiter.</w:t>
      </w:r>
    </w:p>
    <w:p>
      <w:pPr>
        <w:pStyle w:val="Flietext1"/>
        <w:keepNext w:val="false"/>
        <w:keepLines w:val="false"/>
        <w:widowControl w:val="false"/>
        <w:shd w:val="clear" w:color="auto" w:fill="auto"/>
        <w:bidi w:val="0"/>
        <w:spacing w:before="0" w:after="260"/>
        <w:ind w:left="0" w:right="0" w:firstLine="280"/>
        <w:jc w:val="both"/>
        <w:rPr/>
      </w:pPr>
      <w:r>
        <w:rPr>
          <w:color w:val="000000"/>
          <w:spacing w:val="0"/>
          <w:w w:val="100"/>
          <w:shd w:fill="auto" w:val="clear"/>
          <w:lang w:val="en-US" w:eastAsia="en-US" w:bidi="en-US"/>
        </w:rPr>
        <w:t>Kurz gesagt, das Interessengruppenmodell ist die auf den Staat angewandte Markttheorie.495 Anstelle der effektiven Nachfrage als treibende Kraft des Systems gibt es ein artikuliertes organisiertes Interesse. Anstelle des Preismechanismus als Indikator des Gleichgewichts gibt es eine Regierung, die, wenn sie ihre untergeordnete Rolle als Schiedsrichter nicht erfüllt, Punkte in Form von Gesetzen veröffentlicht; die beiden Rollen sind schwer miteinander zu vereinbaren, und ihre Gegenüberstellung deutet darauf hin, dass die Regeln des Wettbewerbs selbst nicht notwendigerweise neutral oder objektiv sind, sondern eher ein Produkt ähnlicher Einflüsse und Konflikte.496 In beiden Fällen gibt es eine unsichtbare Hand, die die auf Gier basierende Interaktion umwandelt zum Wohle aller trotz, wenn nicht sogar gerade wegen der mangelnden Rücksichtnahme auf das Allgemeinwohl durch einen einzelnen Teilnehmer.</w:t>
      </w:r>
    </w:p>
    <w:p>
      <w:pPr>
        <w:pStyle w:val="Flietext21"/>
        <w:keepNext w:val="false"/>
        <w:keepLines w:val="false"/>
        <w:widowControl w:val="false"/>
        <w:numPr>
          <w:ilvl w:val="0"/>
          <w:numId w:val="43"/>
        </w:numPr>
        <w:shd w:val="clear" w:color="auto" w:fill="auto"/>
        <w:tabs>
          <w:tab w:val="clear" w:pos="720"/>
          <w:tab w:val="left" w:pos="639" w:leader="none"/>
        </w:tabs>
        <w:bidi w:val="0"/>
        <w:spacing w:lineRule="auto" w:line="189" w:before="0" w:after="0"/>
        <w:ind w:left="0" w:right="0" w:firstLine="240"/>
        <w:jc w:val="left"/>
        <w:rPr/>
      </w:pPr>
      <w:r>
        <w:rPr>
          <w:color w:val="000000"/>
          <w:spacing w:val="0"/>
          <w:w w:val="100"/>
          <w:shd w:fill="auto" w:val="clear"/>
          <w:lang w:val="en-US" w:eastAsia="en-US" w:bidi="en-US"/>
        </w:rPr>
        <w:t>Ebd., p. 37.</w:t>
      </w:r>
    </w:p>
    <w:p>
      <w:pPr>
        <w:pStyle w:val="Flietext21"/>
        <w:keepNext w:val="false"/>
        <w:keepLines w:val="false"/>
        <w:widowControl w:val="false"/>
        <w:numPr>
          <w:ilvl w:val="0"/>
          <w:numId w:val="43"/>
        </w:numPr>
        <w:shd w:val="clear" w:color="auto" w:fill="auto"/>
        <w:tabs>
          <w:tab w:val="clear" w:pos="720"/>
          <w:tab w:val="left" w:pos="625" w:leader="none"/>
        </w:tabs>
        <w:bidi w:val="0"/>
        <w:spacing w:lineRule="auto" w:line="213" w:before="0" w:after="0"/>
        <w:ind w:left="0" w:right="0" w:firstLine="300"/>
        <w:jc w:val="both"/>
        <w:rPr/>
      </w:pPr>
      <w:r>
        <w:rPr>
          <w:color w:val="000000"/>
          <w:spacing w:val="0"/>
          <w:w w:val="100"/>
          <w:shd w:fill="auto" w:val="clear"/>
          <w:lang w:val="en-US" w:eastAsia="en-US" w:bidi="en-US"/>
        </w:rPr>
        <w:t>Victor A. Thompson, „Bürokratie in einer demokratischen Gesellschaft“, in Martin (Hrsg.), Public Administration and Democracy, p. 207.</w:t>
      </w:r>
    </w:p>
    <w:p>
      <w:pPr>
        <w:pStyle w:val="Flietext21"/>
        <w:keepNext w:val="false"/>
        <w:keepLines w:val="false"/>
        <w:widowControl w:val="false"/>
        <w:numPr>
          <w:ilvl w:val="0"/>
          <w:numId w:val="43"/>
        </w:numPr>
        <w:shd w:val="clear" w:color="auto" w:fill="auto"/>
        <w:tabs>
          <w:tab w:val="clear" w:pos="720"/>
          <w:tab w:val="left" w:pos="625" w:leader="none"/>
        </w:tabs>
        <w:bidi w:val="0"/>
        <w:spacing w:lineRule="auto" w:line="220" w:before="0" w:after="200"/>
        <w:ind w:left="0" w:right="0" w:firstLine="300"/>
        <w:jc w:val="both"/>
        <w:rPr/>
      </w:pPr>
      <w:r>
        <w:rPr>
          <w:color w:val="000000"/>
          <w:spacing w:val="0"/>
          <w:w w:val="100"/>
          <w:shd w:fill="auto" w:val="clear"/>
          <w:lang w:val="en-US" w:eastAsia="en-US" w:bidi="en-US"/>
        </w:rPr>
        <w:t>So argumentiert z.B. Robert Engler, „Social Science and Social Consciousness“, in Roszak (Hrsg.), The Dissenting Academy, S. 179; und von R.H.S. Crossman, Planning for Freedom: Essays in Socialism (London: Hamish Hamilton, 1965), p. 69.</w:t>
      </w:r>
    </w:p>
    <w:p>
      <w:pPr>
        <w:pStyle w:val="Flietext1"/>
        <w:keepNext w:val="false"/>
        <w:keepLines w:val="false"/>
        <w:widowControl w:val="false"/>
        <w:shd w:val="clear" w:color="auto" w:fill="auto"/>
        <w:bidi w:val="0"/>
        <w:spacing w:before="0" w:after="0"/>
        <w:ind w:left="0" w:right="0" w:firstLine="300"/>
        <w:jc w:val="both"/>
        <w:rPr/>
      </w:pPr>
      <w:r>
        <w:rPr>
          <w:color w:val="000000"/>
          <w:spacing w:val="0"/>
          <w:w w:val="100"/>
          <w:shd w:fill="auto" w:val="clear"/>
          <w:vertAlign w:val="superscript"/>
          <w:lang w:val="en-US" w:eastAsia="en-US" w:bidi="en-US"/>
        </w:rPr>
        <w:t>Das Argument in seinen verschiedenen Formen hat viel Debatte und Kritik hervorgerufen. Wolff greift sie wegen ihrer konservativen Tendenz an, da der Zugang zum „Plateau“ der „Legitimität“ typischerweise schwierig ist;497 Drucker wundert sich über die Interessen, die allen gemeinsam sind, aber nicht das zentrale Anliegen irgendeiner Gruppe;498 Wheeler erweitert den Vergleich auf das Marktsystem, indem er eine ähnliche Tendenz zum Oligopol argumentiert;499 und Martin möchte etwas über die Interessen der nicht vertretenen Arbeitnehmer wissen – nicht gewerkschaftlich organisierte Arbeiter, kleine Unternehmen, bürokratische Angestellte und der „einfache Mann“.500</w:t>
      </w:r>
    </w:p>
    <w:p>
      <w:pPr>
        <w:pStyle w:val="Flietext1"/>
        <w:keepNext w:val="false"/>
        <w:keepLines w:val="false"/>
        <w:widowControl w:val="false"/>
        <w:shd w:val="clear" w:color="auto" w:fill="auto"/>
        <w:bidi w:val="0"/>
        <w:spacing w:before="0" w:after="260"/>
        <w:ind w:left="0" w:right="0" w:firstLine="300"/>
        <w:jc w:val="both"/>
        <w:rPr/>
      </w:pPr>
      <w:r>
        <w:rPr>
          <w:color w:val="000000"/>
          <w:spacing w:val="0"/>
          <w:w w:val="100"/>
          <w:shd w:fill="auto" w:val="clear"/>
          <w:lang w:val="en-US" w:eastAsia="en-US" w:bidi="en-US"/>
        </w:rPr>
        <w:t>So stichhaltig diese Einwände auch sein mögen, entscheidend für die vorliegenden Zwecke ist die Frage, was den Stimmen im sogenannten zweiten Wahlkreis entspricht. Wenn die Theorie so ausgelegt wird, dass die Macht von Interessengruppen direkt proportional zur Größe ihrer Mitglieder ist, nur um die Intensität des Interesses diskontiert, dann funktioniert sie als wertvolle Ergänzung zur klassischen (Wahl-)Demokratietheorie und indem sie eine starke suggeriert Der Zusammenhang zwischen Mehrheitsmeinung und Regierungspolitik erlaubt uns, sinnvoll von einer autorisierenden Zustimmung und einer daraus abgeleiteten Verpflichtung zu sprechen. Tatsächlich neigen manche Theoretiker genau so zu sprechen; Interesse und Druck treten bei Appleby nur als Einzelhandlungen auf:</w:t>
      </w:r>
    </w:p>
    <w:p>
      <w:pPr>
        <w:pStyle w:val="Flietext1"/>
        <w:keepNext w:val="false"/>
        <w:keepLines w:val="false"/>
        <w:widowControl w:val="false"/>
        <w:shd w:val="clear" w:color="auto" w:fill="auto"/>
        <w:bidi w:val="0"/>
        <w:spacing w:before="0" w:after="280"/>
        <w:ind w:left="240" w:right="0" w:firstLine="380"/>
        <w:jc w:val="both"/>
        <w:rPr/>
      </w:pPr>
      <w:r>
        <w:rPr>
          <w:color w:val="000000"/>
          <w:spacing w:val="0"/>
          <w:w w:val="100"/>
          <w:shd w:fill="auto" w:val="clear"/>
          <w:vertAlign w:val="superscript"/>
          <w:lang w:val="en-US" w:eastAsia="en-US" w:bidi="en-US"/>
        </w:rPr>
        <w:t>Die Bürger stimmen dann ab, indem sie ihre Namen und Energien in die Mitgliederlisten eintragen. Sie stimmen ab, indem sie die Auflagen bestimmter Zeitungen oder Zeitschriften anschwellen lassen oder nicht anschwellen lassen. Sie stimmen ab, indem sie zur Popularität bestimmter Radio- oder Zeitungskommentatoren beitragen. Sie stimmen ab, indem sie „Briefe an die Redaktion“ schreiben. Sie stimmen wirkungsvoller ab, als sie wissen, wenn sie mit Mitgliedern der gesetzgebenden Körperschaften und mit Verwaltungsbeamten schreiben oder sprechen. Sie wählen, während sie sich in Gewerkschaften, landwirtschaftlichen Organisationen, Geschäfts- und Berufsverbänden ausdrücken. Sie stimmen mit jedem Beitrag ab, den sie zum Meinungsklima in einer durch und durch politischen Gesellschaft leisten. Sie wählen noch effektiver, wenn sie sich organisieren, um Einfluss auszuüben. Sie stimmen effektiv im Verhältnis zur Beharrlichkeit ihrer Bemühungen ab, denn Beharrlichkeit ist ein Index für die Intensität von Gefühlen.501</w:t>
      </w:r>
    </w:p>
    <w:p>
      <w:pPr>
        <w:pStyle w:val="Flietext21"/>
        <w:keepNext w:val="false"/>
        <w:keepLines w:val="false"/>
        <w:widowControl w:val="false"/>
        <w:numPr>
          <w:ilvl w:val="0"/>
          <w:numId w:val="43"/>
        </w:numPr>
        <w:shd w:val="clear" w:color="auto" w:fill="auto"/>
        <w:tabs>
          <w:tab w:val="clear" w:pos="720"/>
          <w:tab w:val="left" w:pos="630" w:leader="none"/>
        </w:tabs>
        <w:bidi w:val="0"/>
        <w:spacing w:lineRule="auto" w:line="216" w:before="0" w:after="0"/>
        <w:ind w:left="0" w:right="0" w:firstLine="280"/>
        <w:jc w:val="both"/>
        <w:rPr/>
      </w:pPr>
      <w:r>
        <w:rPr>
          <w:color w:val="000000"/>
          <w:spacing w:val="0"/>
          <w:w w:val="100"/>
          <w:shd w:fill="auto" w:val="clear"/>
          <w:lang w:val="en-US" w:eastAsia="en-US" w:bidi="en-US"/>
        </w:rPr>
        <w:t>Siehe z.B. Theodor Geiger, Über soziale Ordnung und Massengesellschaft: Ausgewählte Aufsätze, hrsg. von Renate Mayntz, übers. von Robert E. Peck (Chicago: University of Chicago Press, 1969), p. 234.</w:t>
      </w:r>
    </w:p>
    <w:p>
      <w:pPr>
        <w:pStyle w:val="Flietext21"/>
        <w:keepNext w:val="false"/>
        <w:keepLines w:val="false"/>
        <w:widowControl w:val="false"/>
        <w:numPr>
          <w:ilvl w:val="0"/>
          <w:numId w:val="43"/>
        </w:numPr>
        <w:shd w:val="clear" w:color="auto" w:fill="auto"/>
        <w:tabs>
          <w:tab w:val="clear" w:pos="720"/>
          <w:tab w:val="left" w:pos="645" w:leader="none"/>
        </w:tabs>
        <w:bidi w:val="0"/>
        <w:spacing w:lineRule="auto" w:line="189" w:before="0" w:after="0"/>
        <w:ind w:left="0" w:right="0" w:firstLine="240"/>
        <w:jc w:val="left"/>
        <w:rPr/>
      </w:pPr>
      <w:r>
        <w:rPr>
          <w:color w:val="000000"/>
          <w:spacing w:val="0"/>
          <w:w w:val="100"/>
          <w:shd w:fill="auto" w:val="clear"/>
          <w:lang w:val="en-US" w:eastAsia="en-US" w:bidi="en-US"/>
        </w:rPr>
        <w:t>Robert Paul Wolff, The Poverty of Liberalism (Boston: Beacon Press, 1968), p. 154.</w:t>
      </w:r>
    </w:p>
    <w:p>
      <w:pPr>
        <w:pStyle w:val="Flietext21"/>
        <w:keepNext w:val="false"/>
        <w:keepLines w:val="false"/>
        <w:widowControl w:val="false"/>
        <w:numPr>
          <w:ilvl w:val="0"/>
          <w:numId w:val="43"/>
        </w:numPr>
        <w:shd w:val="clear" w:color="auto" w:fill="auto"/>
        <w:tabs>
          <w:tab w:val="clear" w:pos="720"/>
          <w:tab w:val="left" w:pos="645" w:leader="none"/>
        </w:tabs>
        <w:bidi w:val="0"/>
        <w:spacing w:lineRule="auto" w:line="189" w:before="0" w:after="0"/>
        <w:ind w:left="0" w:right="0" w:firstLine="240"/>
        <w:jc w:val="left"/>
        <w:rPr/>
      </w:pPr>
      <w:r>
        <w:rPr>
          <w:color w:val="000000"/>
          <w:spacing w:val="0"/>
          <w:w w:val="100"/>
          <w:shd w:fill="auto" w:val="clear"/>
          <w:lang w:val="en-US" w:eastAsia="en-US" w:bidi="en-US"/>
        </w:rPr>
        <w:t>Peter F. Drucker, The Landmarks of Tomorrow (London: William Heinemann, 1959), p. 173.</w:t>
      </w:r>
    </w:p>
    <w:p>
      <w:pPr>
        <w:pStyle w:val="Flietext21"/>
        <w:keepNext w:val="false"/>
        <w:keepLines w:val="false"/>
        <w:widowControl w:val="false"/>
        <w:numPr>
          <w:ilvl w:val="0"/>
          <w:numId w:val="43"/>
        </w:numPr>
        <w:shd w:val="clear" w:color="auto" w:fill="auto"/>
        <w:tabs>
          <w:tab w:val="clear" w:pos="720"/>
          <w:tab w:val="left" w:pos="611" w:leader="none"/>
        </w:tabs>
        <w:bidi w:val="0"/>
        <w:spacing w:lineRule="auto" w:line="213" w:before="0" w:after="0"/>
        <w:ind w:left="0" w:right="0" w:firstLine="280"/>
        <w:jc w:val="both"/>
        <w:rPr/>
      </w:pPr>
      <w:r>
        <w:rPr>
          <w:color w:val="000000"/>
          <w:spacing w:val="0"/>
          <w:w w:val="100"/>
          <w:shd w:fill="auto" w:val="clear"/>
          <w:lang w:val="en-US" w:eastAsia="en-US" w:bidi="en-US"/>
        </w:rPr>
        <w:t>Harvey Wheeler, „Gefahrensignale im politischen System“, in Dissent, Vol. 10, Nr. 3 (Sommer 1957), p. 298.</w:t>
      </w:r>
    </w:p>
    <w:p>
      <w:pPr>
        <w:pStyle w:val="Flietext21"/>
        <w:keepNext w:val="false"/>
        <w:keepLines w:val="false"/>
        <w:widowControl w:val="false"/>
        <w:numPr>
          <w:ilvl w:val="0"/>
          <w:numId w:val="43"/>
        </w:numPr>
        <w:shd w:val="clear" w:color="auto" w:fill="auto"/>
        <w:tabs>
          <w:tab w:val="clear" w:pos="720"/>
          <w:tab w:val="left" w:pos="645" w:leader="none"/>
        </w:tabs>
        <w:bidi w:val="0"/>
        <w:spacing w:lineRule="auto" w:line="189" w:before="0" w:after="200"/>
        <w:ind w:left="0" w:right="0" w:firstLine="240"/>
        <w:jc w:val="left"/>
        <w:rPr/>
      </w:pPr>
      <w:r>
        <w:rPr>
          <w:color w:val="000000"/>
          <w:spacing w:val="0"/>
          <w:w w:val="100"/>
          <w:shd w:fill="auto" w:val="clear"/>
          <w:lang w:val="en-US" w:eastAsia="en-US" w:bidi="en-US"/>
        </w:rPr>
        <w:t>Roscoe C. Martin, Grass Roots (Alabama: University of Alabama Press, 1957), p. 161.</w:t>
      </w:r>
    </w:p>
    <w:p>
      <w:pPr>
        <w:pStyle w:val="Flietext1"/>
        <w:keepNext w:val="false"/>
        <w:keepLines w:val="false"/>
        <w:widowControl w:val="false"/>
        <w:shd w:val="clear" w:color="auto" w:fill="auto"/>
        <w:bidi w:val="0"/>
        <w:spacing w:before="0" w:after="280"/>
        <w:ind w:left="0" w:right="0" w:hanging="0"/>
        <w:jc w:val="both"/>
        <w:rPr/>
      </w:pPr>
      <w:r>
        <w:rPr>
          <w:color w:val="000000"/>
          <w:spacing w:val="0"/>
          <w:w w:val="100"/>
          <w:shd w:fill="auto" w:val="clear"/>
          <w:lang w:val="en-US" w:eastAsia="en-US" w:bidi="en-US"/>
        </w:rPr>
        <w:t>In ähnlicher Weise sind Interessengruppen in Dahl im Verhältnis zu der „Freizeit“, die ihre Mitglieder aufwenden, effektiv.502 Offensichtlich ist die Mitgliederzahl jedoch nur ein Faktor für den Einfluss von Interessengruppen, zusammen mit der Enge der Mitgliederorganisation und der Verfügbarkeit von Material Ressourcen sind mindestens genauso wichtig. Die Effektivität der Öllobby in den Vereinigten Staaten in Bezug auf Abschreibungsbeträge beruht nicht auf der Stimmkraft von Ölmillionären bei Kongresswahlen. Wenn sich der PTA und dem Komitee für eine Ampel an der 12. und Main Street Gesellschaft von General Motors, Du Pont, Imperial Chemicals Inc. und so weiter anschließt, dann haben wir, um Hackers eloquente Formulierung zu verwenden, Elefanten, die zwischen den Hühnern tanzen.503 Nor Empirische Untersuchungen haben ergeben, dass viele Akteure der Interessenvertretungsarena ein hohes Maß an innerstaatlicher Demokratie aufweisen.</w:t>
      </w:r>
    </w:p>
    <w:p>
      <w:pPr>
        <w:pStyle w:val="Flietext21"/>
        <w:keepNext w:val="false"/>
        <w:keepLines w:val="false"/>
        <w:widowControl w:val="false"/>
        <w:numPr>
          <w:ilvl w:val="0"/>
          <w:numId w:val="43"/>
        </w:numPr>
        <w:shd w:val="clear" w:color="auto" w:fill="auto"/>
        <w:tabs>
          <w:tab w:val="clear" w:pos="720"/>
          <w:tab w:val="left" w:pos="611" w:leader="none"/>
        </w:tabs>
        <w:bidi w:val="0"/>
        <w:spacing w:lineRule="auto" w:line="213" w:before="0" w:after="0"/>
        <w:ind w:left="0" w:right="0" w:firstLine="280"/>
        <w:jc w:val="both"/>
        <w:rPr/>
      </w:pPr>
      <w:r>
        <w:rPr>
          <w:color w:val="000000"/>
          <w:spacing w:val="0"/>
          <w:w w:val="100"/>
          <w:shd w:fill="auto" w:val="clear"/>
          <w:lang w:val="en-US" w:eastAsia="en-US" w:bidi="en-US"/>
        </w:rPr>
        <w:t>Paul H. Appleby, Politik und Verwaltung (Alabama: University of Alabama Press, 1949), p. 168.</w:t>
      </w:r>
    </w:p>
    <w:p>
      <w:pPr>
        <w:pStyle w:val="Flietext21"/>
        <w:keepNext w:val="false"/>
        <w:keepLines w:val="false"/>
        <w:widowControl w:val="false"/>
        <w:numPr>
          <w:ilvl w:val="0"/>
          <w:numId w:val="43"/>
        </w:numPr>
        <w:shd w:val="clear" w:color="auto" w:fill="auto"/>
        <w:tabs>
          <w:tab w:val="clear" w:pos="720"/>
          <w:tab w:val="left" w:pos="685" w:leader="none"/>
        </w:tabs>
        <w:bidi w:val="0"/>
        <w:spacing w:lineRule="auto" w:line="189" w:before="0" w:after="0"/>
        <w:ind w:left="0" w:right="0" w:firstLine="280"/>
        <w:jc w:val="both"/>
        <w:rPr/>
      </w:pPr>
      <w:r>
        <w:rPr>
          <w:color w:val="000000"/>
          <w:spacing w:val="0"/>
          <w:w w:val="100"/>
          <w:shd w:fill="auto" w:val="clear"/>
          <w:lang w:val="en-US" w:eastAsia="en-US" w:bidi="en-US"/>
        </w:rPr>
        <w:t>Dahl, Vorwort zur Demokratischen Theorie, S. 101.</w:t>
      </w:r>
    </w:p>
    <w:p>
      <w:pPr>
        <w:pStyle w:val="Flietext21"/>
        <w:keepNext w:val="false"/>
        <w:keepLines w:val="false"/>
        <w:widowControl w:val="false"/>
        <w:numPr>
          <w:ilvl w:val="0"/>
          <w:numId w:val="43"/>
        </w:numPr>
        <w:shd w:val="clear" w:color="auto" w:fill="auto"/>
        <w:tabs>
          <w:tab w:val="clear" w:pos="720"/>
          <w:tab w:val="left" w:pos="630" w:leader="none"/>
        </w:tabs>
        <w:bidi w:val="0"/>
        <w:spacing w:lineRule="auto" w:line="220" w:before="0" w:after="200"/>
        <w:ind w:left="0" w:right="0" w:firstLine="280"/>
        <w:jc w:val="both"/>
        <w:rPr/>
      </w:pPr>
      <w:r>
        <w:rPr>
          <w:color w:val="000000"/>
          <w:spacing w:val="0"/>
          <w:w w:val="100"/>
          <w:shd w:fill="auto" w:val="clear"/>
          <w:lang w:val="en-US" w:eastAsia="en-US" w:bidi="en-US"/>
        </w:rPr>
        <w:t>Andrew Hacker, The End of the American Era (London: Sidgwick &amp; Jackson, 1968), S. 42; Seltsamerweise, obwohl General Motors ein Elefant ist, werden die United Auto Workers zu den Hühnern gezählt, ein hervorragendes Beispiel für ideologische Scheuklappen.</w:t>
      </w:r>
    </w:p>
    <w:p>
      <w:pPr>
        <w:pStyle w:val="Flietext1"/>
        <w:keepNext w:val="false"/>
        <w:keepLines w:val="false"/>
        <w:widowControl w:val="false"/>
        <w:shd w:val="clear" w:color="auto" w:fill="auto"/>
        <w:bidi w:val="0"/>
        <w:spacing w:before="0" w:after="240"/>
        <w:ind w:left="0" w:right="0" w:firstLine="280"/>
        <w:jc w:val="both"/>
        <w:rPr/>
      </w:pPr>
      <w:r>
        <w:rPr>
          <w:color w:val="000000"/>
          <w:spacing w:val="0"/>
          <w:w w:val="100"/>
          <w:shd w:fill="auto" w:val="clear"/>
          <w:lang w:val="en-US" w:eastAsia="en-US" w:bidi="en-US"/>
        </w:rPr>
        <w:t>Obwohl das Ergebnis der Aktionen von Interessengruppen durchaus ein Gleichgewicht sein kann, wird es nicht ein Gleichgewicht der Gerechtigkeit, sondern ein Gleichgewicht der Macht sein. Wie Niebuhr sagt:</w:t>
      </w:r>
    </w:p>
    <w:p>
      <w:pPr>
        <w:pStyle w:val="Flietext1"/>
        <w:keepNext w:val="false"/>
        <w:keepLines w:val="false"/>
        <w:widowControl w:val="false"/>
        <w:shd w:val="clear" w:color="auto" w:fill="auto"/>
        <w:bidi w:val="0"/>
        <w:spacing w:lineRule="auto" w:line="240" w:before="0" w:after="280"/>
        <w:ind w:left="240" w:right="0" w:firstLine="380"/>
        <w:jc w:val="left"/>
        <w:rPr/>
      </w:pPr>
      <w:r>
        <w:rPr>
          <w:color w:val="000000"/>
          <w:spacing w:val="0"/>
          <w:w w:val="100"/>
          <w:shd w:fill="auto" w:val="clear"/>
          <w:vertAlign w:val="superscript"/>
          <w:lang w:val="en-US" w:eastAsia="en-US" w:bidi="en-US"/>
        </w:rPr>
        <w:t>Nur sehr wenige Soziologen scheinen gelernt zu haben, dass eine Bereinigung eines sozialen Konflikts, verursacht durch das Machtgefälle in der Gesellschaft, kaum zu Gerechtigkeit führen wird, solange das Machtgefälle bestehen bleibt.504</w:t>
      </w:r>
    </w:p>
    <w:p>
      <w:pPr>
        <w:pStyle w:val="Flietext1"/>
        <w:keepNext w:val="false"/>
        <w:keepLines w:val="false"/>
        <w:widowControl w:val="false"/>
        <w:shd w:val="clear" w:color="auto" w:fill="auto"/>
        <w:bidi w:val="0"/>
        <w:spacing w:before="0" w:after="0"/>
        <w:ind w:left="0" w:right="0" w:hanging="0"/>
        <w:jc w:val="both"/>
        <w:rPr/>
      </w:pPr>
      <w:r>
        <w:rPr>
          <w:color w:val="000000"/>
          <w:spacing w:val="0"/>
          <w:w w:val="100"/>
          <w:shd w:fill="auto" w:val="clear"/>
          <w:lang w:val="en-US" w:eastAsia="en-US" w:bidi="en-US"/>
        </w:rPr>
        <w:t>Aus diesem Grund wird der Wert des durch die Aktivität von Interessengruppen geschaffenen Gleichgewichts überbetont; wie Ferkiss bemerkt, befindet sich sogar eine brennende Müllhalde in einem Gleichgewichtszustand, wobei der Begriff nichts anderes bedeutet als das Fehlen einer Explosion.505 Zu sagen, Politik ergebe sich aus Druck, ist trivial; niemand hat jemals vermutet, dass es ex vacuo entstanden ist. Das Problem besteht darin, zu verstehen, warum dies irgendetwas tun sollte, um eine besiegte Gruppe mit ihrem Schicksal zu versöhnen, oder warum sie außer den grobschlägigsten vorsichtigen Gründen für ihre Zustimmung anführt.</w:t>
      </w:r>
    </w:p>
    <w:p>
      <w:pPr>
        <w:pStyle w:val="Flietext1"/>
        <w:keepNext w:val="false"/>
        <w:keepLines w:val="false"/>
        <w:widowControl w:val="false"/>
        <w:shd w:val="clear" w:color="auto" w:fill="auto"/>
        <w:bidi w:val="0"/>
        <w:spacing w:before="0" w:after="280"/>
        <w:ind w:left="0" w:right="0" w:firstLine="280"/>
        <w:jc w:val="both"/>
        <w:rPr/>
      </w:pPr>
      <w:r>
        <w:rPr>
          <w:color w:val="000000"/>
          <w:spacing w:val="0"/>
          <w:w w:val="100"/>
          <w:shd w:fill="auto" w:val="clear"/>
          <w:lang w:val="en-US" w:eastAsia="en-US" w:bidi="en-US"/>
        </w:rPr>
        <w:t>Es ist interessant festzustellen, dass zwei frühere Theoretiker, die sich mit der Rolle von Gruppen in der Politik befassten – J.J. Rousseau und G.D.H. Cole – ungefähr an diesem Punkt angelangt, bevor ihr Streit verebbte. Rousseau, nachdem er widerwillig Gruppen in sein System aufgenommen hatte,506 und G.D.H. Cole fügte durchweg507 die Bedingung hinzu, dass diese Gruppen in etwa die gleiche politische Macht haben sollten. Allerdings gab keiner an, wie eine solche Gleichheit gemessen oder hergestellt oder aufrechterhalten werden sollte; im Grunde genommen haben sie ihre weiteren Annahmen über Gruppen nicht explizit gemacht, die es uns ermöglichen, Verdienste darin zu finden, die Union of Buggy-Whip Makers (mit etwa 30 überlebenden Mitgliedern) mit den United Mine Workers gleichzustellen. Das Problem ist ein völliger Mangel an Fokus; die lösung ist keine lösung, denn es bedarf einer methode zur gewichtung der ansprüche verschiedener gruppen, und das prokrustesbett des willkürlichen ausgleichs ist nur eine ausflucht.</w:t>
      </w:r>
    </w:p>
    <w:p>
      <w:pPr>
        <w:pStyle w:val="Flietext21"/>
        <w:keepNext w:val="false"/>
        <w:keepLines w:val="false"/>
        <w:widowControl w:val="false"/>
        <w:numPr>
          <w:ilvl w:val="0"/>
          <w:numId w:val="43"/>
        </w:numPr>
        <w:shd w:val="clear" w:color="auto" w:fill="auto"/>
        <w:tabs>
          <w:tab w:val="clear" w:pos="720"/>
          <w:tab w:val="left" w:pos="625" w:leader="none"/>
        </w:tabs>
        <w:bidi w:val="0"/>
        <w:spacing w:lineRule="auto" w:line="213" w:before="0" w:after="0"/>
        <w:ind w:left="0" w:right="0" w:firstLine="280"/>
        <w:jc w:val="both"/>
        <w:rPr/>
      </w:pPr>
      <w:r>
        <w:rPr>
          <w:color w:val="000000"/>
          <w:spacing w:val="0"/>
          <w:w w:val="100"/>
          <w:shd w:fill="auto" w:val="clear"/>
          <w:lang w:val="en-US" w:eastAsia="en-US" w:bidi="en-US"/>
        </w:rPr>
        <w:t>Reinhold Neibuhr, Moral Man and Immoral Society: A Study of Ethics and Politics (London: SCM Press Ltd., 1963), p. 118.</w:t>
      </w:r>
    </w:p>
    <w:p>
      <w:pPr>
        <w:pStyle w:val="Flietext21"/>
        <w:keepNext w:val="false"/>
        <w:keepLines w:val="false"/>
        <w:widowControl w:val="false"/>
        <w:numPr>
          <w:ilvl w:val="0"/>
          <w:numId w:val="43"/>
        </w:numPr>
        <w:shd w:val="clear" w:color="auto" w:fill="auto"/>
        <w:tabs>
          <w:tab w:val="clear" w:pos="720"/>
          <w:tab w:val="left" w:pos="625" w:leader="none"/>
        </w:tabs>
        <w:bidi w:val="0"/>
        <w:spacing w:lineRule="auto" w:line="213" w:before="0" w:after="0"/>
        <w:ind w:left="0" w:right="0" w:firstLine="280"/>
        <w:jc w:val="both"/>
        <w:rPr/>
      </w:pPr>
      <w:r>
        <w:rPr>
          <w:color w:val="000000"/>
          <w:spacing w:val="0"/>
          <w:w w:val="100"/>
          <w:shd w:fill="auto" w:val="clear"/>
          <w:lang w:val="en-US" w:eastAsia="en-US" w:bidi="en-US"/>
        </w:rPr>
        <w:t>Victor C. Ferkiss, Technological Man: The Myth and the Reality (London: Heinemann Ltd., 1969), p. 118.</w:t>
      </w:r>
    </w:p>
    <w:p>
      <w:pPr>
        <w:pStyle w:val="Flietext21"/>
        <w:keepNext w:val="false"/>
        <w:keepLines w:val="false"/>
        <w:widowControl w:val="false"/>
        <w:numPr>
          <w:ilvl w:val="0"/>
          <w:numId w:val="43"/>
        </w:numPr>
        <w:shd w:val="clear" w:color="auto" w:fill="auto"/>
        <w:tabs>
          <w:tab w:val="clear" w:pos="720"/>
          <w:tab w:val="left" w:pos="679" w:leader="none"/>
        </w:tabs>
        <w:bidi w:val="0"/>
        <w:spacing w:lineRule="auto" w:line="189" w:before="0" w:after="0"/>
        <w:ind w:left="0" w:right="0" w:firstLine="280"/>
        <w:jc w:val="both"/>
        <w:rPr/>
      </w:pPr>
      <w:r>
        <w:rPr>
          <w:color w:val="000000"/>
          <w:spacing w:val="0"/>
          <w:w w:val="100"/>
          <w:shd w:fill="auto" w:val="clear"/>
          <w:lang w:val="en-US" w:eastAsia="en-US" w:bidi="en-US"/>
        </w:rPr>
        <w:t>Rousseau, Über den Gesellschaftsvertrag, Teil II, Kapitel iii.</w:t>
      </w:r>
    </w:p>
    <w:p>
      <w:pPr>
        <w:pStyle w:val="Flietext21"/>
        <w:keepNext w:val="false"/>
        <w:keepLines w:val="false"/>
        <w:widowControl w:val="false"/>
        <w:numPr>
          <w:ilvl w:val="0"/>
          <w:numId w:val="43"/>
        </w:numPr>
        <w:shd w:val="clear" w:color="auto" w:fill="auto"/>
        <w:tabs>
          <w:tab w:val="clear" w:pos="720"/>
          <w:tab w:val="left" w:pos="625" w:leader="none"/>
        </w:tabs>
        <w:bidi w:val="0"/>
        <w:spacing w:lineRule="auto" w:line="213" w:before="0" w:after="200"/>
        <w:ind w:left="0" w:right="0" w:firstLine="280"/>
        <w:jc w:val="both"/>
        <w:rPr/>
      </w:pPr>
      <w:r>
        <w:rPr>
          <w:color w:val="000000"/>
          <w:spacing w:val="0"/>
          <w:w w:val="100"/>
          <w:shd w:fill="auto" w:val="clear"/>
          <w:lang w:val="en-US" w:eastAsia="en-US" w:bidi="en-US"/>
        </w:rPr>
        <w:t>Wie in Carole Pateman, Participation and Democratic Theory (Cambridge: Cambridge University Preess, 1970), p. 20.</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Was genau haben solche Theorien mit Verpflichtung zu tun? Soweit ich weiß, lehnen sie es ab, sich mit einem solchen Problem zu befassen. Wo ihre Sprache eher präskriptiv als neutral beschreibend ist, postuliert sie einen Wert in Bezug auf Systemwartung und Überleben. Dennoch können sie nicht anders, als indirekt relevant zu sein. Der Angriff auf die Wahldemokratie hängt mit ihrer Unzulänglichkeit als Mittel zur Übertragung des Mehrheitswillens in spezifische Politiken zusammen. Die pluralistische Demokratie bietet einen alternativen Mechanismus, der den Volkswillen und die Politik reibungslos miteinander verbindet. Da nach einem Mittel gesucht wird, die Bürger in Bezug auf die Verantwortung für die Politik zu verpflichten, legt das pluralistische Modell nahe, es an die Konsenstheorie anzugleichen, indem wir „Wahlbeteiligung“ durch „Aktivität von Interessengruppen“ ersetzen.</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Auf die Mängel eines solchen Vorschlags wurde bereits hingewiesen. Die Situation ist nicht mehrheitlich, sondern pseudomajoritär; die sprache der interessengruppen ist nicht one-man-one-vote, sondern effektive einflussnahme. Das Interessengruppengleichgewicht hat keinen zwingenden Zusammenhang mit einem Mehrheitswillen (soweit ein solcher bestehen mag) und die Ersetzung klarer Mehrheit und unklarer Zuständigkeit (Wahlen) durch eindeutige Verantwortlichkeit durch unklare Mehrheit (Interessengruppe) empfiehlt sich nicht.</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Das pluralistische Demokratiemodell ermöglicht es uns, eine feste Verbindung zwischen effektivem Volkswillen und tatsächlicher Regierungspolitik herzustellen, aber der Preis ist hoch. Zunächst wird die eindeutige Verbindung zur zahlenmäßigen Mehrheit geopfert. Zweitens untergräbt die grobe Terminologie der Macht jeden moralischen Anspruch auf Zustimmung der „Minderheit“ (die tatsächlich eine zahlenmäßige Mehrheit sein kann). Für Zwecke der Rechtfertigung der Verpflichtung im Sinne der Zustimmung ist der Deal ein schlechter Deal.</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Wenn die starke Form der Zustimmungstheorie nicht aufrechterhalten werden kann, gibt es schwächere Formen der Zustimmungstheorie, die noch erforscht werden müssen. Es wäre keine adäquate Sicht der Demokratietheorie, die den Eindruck erwecke, sie sei durch das klassische Modell und Dahl-artige Aktualisierungen erschöpft, denn es gibt in der Literatur eine beträchtliche Anzahl von Arbeiten, die einen viel „realistischeren“ Ansatz verfolgen. Wie bereits angedeutet, ist die Unterscheidung zwischen ihnen und dem klassischen Modell analog zu der zwischen Liberalismus und Demokratie; Das heißt, während die Demokratie die Kontrolle der Regierung durch das Volk erfordert, lehnt der Liberalismus nicht eine undemokratische Regierung ab, sondern nur eine willkürliche absolute Regierung, wo auch immer eine solche Macht angesiedelt sein mag. Der Unterschied besteht darin, dass demokratische Kontrolle positiv ist, „liberale“ Kontrolle dagegen negativ; Gewünscht wird keine Regierung, die sich anbiedert, sondern nur eine, die nicht zu sehr aus dem Ruder läuft.</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Da die schwache Sichtweise der Zustimmung keine starke Verbindung zwischen der Mehrheitsmeinung und der Regierungspolitik erfordert, wäre das Vorhandensein einer solchen Ähnlichkeit in einer bestimmten Frage ein rein willkürlicher Bonus, der für diese grundlegende Frage der politischen Verpflichtung in einem solchen System irrelevant wäre . Wir werden zwei Formen des Arguments betrachten, die die Demokratie auf die schwache Sichtweise der Zustimmung stützen, und untersuchen, auf welcher Grundlage eine solche Zustimmung jeweils ein Argument für eine Verpflichtung liefern kann.</w:t>
      </w:r>
    </w:p>
    <w:p>
      <w:pPr>
        <w:pStyle w:val="Flietext1"/>
        <w:keepNext w:val="false"/>
        <w:keepLines w:val="false"/>
        <w:widowControl w:val="false"/>
        <w:shd w:val="clear" w:color="auto" w:fill="auto"/>
        <w:bidi w:val="0"/>
        <w:spacing w:before="0" w:after="280"/>
        <w:ind w:left="0" w:right="0" w:firstLine="320"/>
        <w:jc w:val="both"/>
        <w:rPr/>
      </w:pPr>
      <w:r>
        <w:rPr>
          <w:color w:val="000000"/>
          <w:spacing w:val="0"/>
          <w:w w:val="100"/>
          <w:shd w:fill="auto" w:val="clear"/>
          <w:lang w:val="en-US" w:eastAsia="en-US" w:bidi="en-US"/>
        </w:rPr>
        <w:t>Der demokratische Revisionismus akzeptiert die Unzulänglichkeit der Stimmzettel als Mittel, um eine öffentliche Kontrolle der Politik zu bewirken, sieht dies jedoch als eine gute Sache an, da der Durchschnittsbürger unfähig und unqualifiziert ist, die Politik zu kontrollieren. Wie ein ehemaliger amerikanischer Vizepräsident, Spiro Agnew, erklärte: „(i) es ist an der Zeit, die Fiktion zu verwerfen, dass in einem Land mit 200 Millionen Einwohnern jeder qualifiziert ist, die Regierung zu übernehmen“,508 und Benn und Peters sagen dasselbe in wissenschaftlicherer Form gedacht, wenn der Vorschlag:</w:t>
      </w:r>
    </w:p>
    <w:p>
      <w:pPr>
        <w:pStyle w:val="Flietext1"/>
        <w:keepNext w:val="false"/>
        <w:keepLines w:val="false"/>
        <w:widowControl w:val="false"/>
        <w:shd w:val="clear" w:color="auto" w:fill="auto"/>
        <w:bidi w:val="0"/>
        <w:spacing w:lineRule="auto" w:line="252" w:before="0" w:after="280"/>
        <w:ind w:left="240" w:right="0" w:firstLine="380"/>
        <w:jc w:val="both"/>
        <w:rPr/>
      </w:pPr>
      <w:r>
        <w:rPr>
          <w:color w:val="000000"/>
          <w:spacing w:val="0"/>
          <w:w w:val="100"/>
          <w:shd w:fill="auto" w:val="clear"/>
          <w:vertAlign w:val="superscript"/>
          <w:lang w:val="en-US" w:eastAsia="en-US" w:bidi="en-US"/>
        </w:rPr>
        <w:t>Es ist nichts undemokratisch, wenn eine Regierung eine unpopuläre Politik verfolgt. Das Urteil der meisten Wähler, sagen wir, über die Finanzen eines staatlichen Pensionsplans oder über die Kreditpolitik, ist wahrscheinlich nicht viel wert, und es gibt keinen Grund, warum von einer Regierung erwartet werden sollte, sich darauf zu stützen.509</w:t>
      </w:r>
    </w:p>
    <w:p>
      <w:pPr>
        <w:pStyle w:val="Flietext21"/>
        <w:keepNext w:val="false"/>
        <w:keepLines w:val="false"/>
        <w:widowControl w:val="false"/>
        <w:numPr>
          <w:ilvl w:val="0"/>
          <w:numId w:val="43"/>
        </w:numPr>
        <w:shd w:val="clear" w:color="auto" w:fill="auto"/>
        <w:tabs>
          <w:tab w:val="clear" w:pos="720"/>
          <w:tab w:val="left" w:pos="625" w:leader="none"/>
        </w:tabs>
        <w:bidi w:val="0"/>
        <w:spacing w:lineRule="auto" w:line="220" w:before="0" w:after="200"/>
        <w:ind w:left="0" w:right="0" w:firstLine="320"/>
        <w:jc w:val="both"/>
        <w:rPr/>
      </w:pPr>
      <w:r>
        <w:rPr>
          <w:color w:val="000000"/>
          <w:spacing w:val="0"/>
          <w:w w:val="100"/>
          <w:shd w:fill="auto" w:val="clear"/>
          <w:lang w:val="en-US" w:eastAsia="en-US" w:bidi="en-US"/>
        </w:rPr>
        <w:t>Aus einer Rede mit dem Titel „Impudence in the Streets“, Ansprache beim Pennsylvania Republican Dinner, Harrisburg, 30. Oktober 1969; in Spiro T. Agnew, Frankly Speaking: A Collection of Extraordinary Speeches (Washington, D.C.: Public Affairs Press, 1970), p. 46.</w:t>
      </w:r>
    </w:p>
    <w:p>
      <w:pPr>
        <w:pStyle w:val="Flietext1"/>
        <w:keepNext w:val="false"/>
        <w:keepLines w:val="false"/>
        <w:widowControl w:val="false"/>
        <w:shd w:val="clear" w:color="auto" w:fill="auto"/>
        <w:bidi w:val="0"/>
        <w:spacing w:before="0" w:after="280"/>
        <w:ind w:left="0" w:right="0" w:hanging="0"/>
        <w:jc w:val="both"/>
        <w:rPr/>
      </w:pPr>
      <w:r>
        <w:rPr>
          <w:color w:val="000000"/>
          <w:spacing w:val="0"/>
          <w:w w:val="100"/>
          <w:shd w:fill="auto" w:val="clear"/>
          <w:lang w:val="en-US" w:eastAsia="en-US" w:bidi="en-US"/>
        </w:rPr>
        <w:t>Sartori, dessen Name am häufigsten mit dem Modell in Verbindung gebracht wird, bringt es auf den Punkt. Der Wähler wird aufgefordert, „Entscheidungen zu treffen, von denen er nichts weiß“, und ist daher per Definition „inkompetent“. in allen anderen Fällen sollte er sich einer spezialisierten Führung unterwerfen.511 Aber demokratischer Revisionismus ist keine Technokratie; Obwohl die Menschen nicht in der Lage sind, an den Entscheidungen mitzuwirken, sind sie nicht in der Lage, die Ergebnisse zu beurteilen. Rohr sagt:</w:t>
      </w:r>
    </w:p>
    <w:p>
      <w:pPr>
        <w:pStyle w:val="Flietext1"/>
        <w:keepNext w:val="false"/>
        <w:keepLines w:val="false"/>
        <w:widowControl w:val="false"/>
        <w:shd w:val="clear" w:color="auto" w:fill="auto"/>
        <w:bidi w:val="0"/>
        <w:spacing w:lineRule="auto" w:line="252" w:before="0" w:after="280"/>
        <w:ind w:left="240" w:right="0" w:firstLine="380"/>
        <w:jc w:val="both"/>
        <w:rPr/>
      </w:pPr>
      <w:r>
        <w:rPr>
          <w:color w:val="000000"/>
          <w:spacing w:val="0"/>
          <w:w w:val="100"/>
          <w:shd w:fill="auto" w:val="clear"/>
          <w:vertAlign w:val="superscript"/>
          <w:lang w:val="en-US" w:eastAsia="en-US" w:bidi="en-US"/>
        </w:rPr>
        <w:t>„</w:t>
      </w:r>
      <w:r>
        <w:rPr>
          <w:color w:val="000000"/>
          <w:spacing w:val="0"/>
          <w:w w:val="100"/>
          <w:shd w:fill="auto" w:val="clear"/>
          <w:vertAlign w:val="superscript"/>
          <w:lang w:val="en-US" w:eastAsia="en-US" w:bidi="en-US"/>
        </w:rPr>
        <w:t>Zustimmung der Regierten“ bedeutet normalerweise, dass eine legitime Regierung auf der Zustimmung der Regierten beruht. Das bedeutet nicht, dass jede Politik dieser Regierung die Zustimmung der Regierten widerspiegeln sollte.512</w:t>
      </w:r>
    </w:p>
    <w:p>
      <w:pPr>
        <w:pStyle w:val="Flietext1"/>
        <w:keepNext w:val="false"/>
        <w:keepLines w:val="false"/>
        <w:widowControl w:val="false"/>
        <w:shd w:val="clear" w:color="auto" w:fill="auto"/>
        <w:bidi w:val="0"/>
        <w:spacing w:before="0" w:after="280"/>
        <w:ind w:left="0" w:right="0" w:hanging="0"/>
        <w:jc w:val="left"/>
        <w:rPr/>
      </w:pPr>
      <w:r>
        <w:rPr>
          <w:color w:val="000000"/>
          <w:spacing w:val="0"/>
          <w:w w:val="100"/>
          <w:shd w:fill="auto" w:val="clear"/>
          <w:lang w:val="en-US" w:eastAsia="en-US" w:bidi="en-US"/>
        </w:rPr>
        <w:t>und Benn und Peters wiederholen das Gefühl:</w:t>
      </w:r>
    </w:p>
    <w:p>
      <w:pPr>
        <w:pStyle w:val="Flietext1"/>
        <w:keepNext w:val="false"/>
        <w:keepLines w:val="false"/>
        <w:widowControl w:val="false"/>
        <w:shd w:val="clear" w:color="auto" w:fill="auto"/>
        <w:bidi w:val="0"/>
        <w:spacing w:before="0" w:after="280"/>
        <w:ind w:left="240" w:right="0" w:firstLine="380"/>
        <w:jc w:val="left"/>
        <w:rPr/>
      </w:pPr>
      <w:r>
        <w:rPr>
          <w:color w:val="000000"/>
          <w:spacing w:val="0"/>
          <w:w w:val="100"/>
          <w:shd w:fill="auto" w:val="clear"/>
          <w:vertAlign w:val="superscript"/>
          <w:lang w:val="en-US" w:eastAsia="en-US" w:bidi="en-US"/>
        </w:rPr>
        <w:t>Demokratie setzt weder Mehrheitsmeinungen in jeder Angelegenheit voraus, noch verlangt sie, dass die Regierung sie widerspiegelt, selbst wenn sie existieren. Es erfordert lediglich, dass die Gouverneure regelmäßig eine Mehrheit der Wähler zufrieden stellen, um ihre Autorität zu behalten.513</w:t>
      </w:r>
    </w:p>
    <w:p>
      <w:pPr>
        <w:pStyle w:val="Flietext1"/>
        <w:keepNext w:val="false"/>
        <w:keepLines w:val="false"/>
        <w:widowControl w:val="false"/>
        <w:shd w:val="clear" w:color="auto" w:fill="auto"/>
        <w:bidi w:val="0"/>
        <w:spacing w:before="0" w:after="0"/>
        <w:ind w:left="0" w:right="0" w:hanging="0"/>
        <w:jc w:val="both"/>
        <w:rPr/>
      </w:pPr>
      <w:r>
        <w:rPr>
          <w:color w:val="000000"/>
          <w:spacing w:val="0"/>
          <w:w w:val="100"/>
          <w:shd w:fill="auto" w:val="clear"/>
          <w:lang w:val="en-US" w:eastAsia="en-US" w:bidi="en-US"/>
        </w:rPr>
        <w:t>Entscheidungen sollen von Experten getroffen werden, aber die Experten sollen durch die Notwendigkeit einer regelmäßigen Wahlunterstützung des Volkes überprüft werden, wodurch eine Expertenverantwortung begründet wird, ohne Massenkontrolle zu behaupten.</w:t>
      </w:r>
    </w:p>
    <w:p>
      <w:pPr>
        <w:pStyle w:val="Flietext1"/>
        <w:keepNext w:val="false"/>
        <w:keepLines w:val="false"/>
        <w:widowControl w:val="false"/>
        <w:shd w:val="clear" w:color="auto" w:fill="auto"/>
        <w:bidi w:val="0"/>
        <w:spacing w:before="0" w:after="280"/>
        <w:ind w:left="0" w:right="0" w:firstLine="280"/>
        <w:jc w:val="both"/>
        <w:rPr/>
      </w:pPr>
      <w:r>
        <w:rPr>
          <w:color w:val="000000"/>
          <w:spacing w:val="0"/>
          <w:w w:val="100"/>
          <w:shd w:fill="auto" w:val="clear"/>
          <w:lang w:val="en-US" w:eastAsia="en-US" w:bidi="en-US"/>
        </w:rPr>
        <w:t>Die Sanktion der Wiederwahl war in der starken Sichtweise der Zustimmung nicht unwichtig, aber obwohl es in dieser Sichtweise der Grund gewesen sein mag, warum einzelne Mitglieder oder Parteien auf den Mehrheitswillen reagierten, war es nicht die Art und Weise, wie sie reagierten, sondern das „Wie“. durch Interaktion mit informierten Wählern und/oder relevanten Interessengruppen. Da die Macht, die der demokratische Revisionist dem Volk einräumen will, begrenzt ist, reicht ein gröberes Mittel, sie auszuüben. Die einzige Macht, die die Revisionisten den Wählern am Wahltag einräumen wollen, ist eine negative – sie können nur sehr laut NEIN sagen. Das System ist ideal organisiert, nicht um eine populäre Politik zu fördern (NEIN zu rufen ist kein wirksames Mittel, um Präferenzen zu spezifizieren), sondern um diejenigen zu bestrafen, die zu weit gehen. Die liberalen Untertöne des Arguments sind klar, und Drucker bringt sie heraus:</w:t>
      </w:r>
    </w:p>
    <w:p>
      <w:pPr>
        <w:pStyle w:val="Flietext1"/>
        <w:keepNext w:val="false"/>
        <w:keepLines w:val="false"/>
        <w:widowControl w:val="false"/>
        <w:shd w:val="clear" w:color="auto" w:fill="auto"/>
        <w:bidi w:val="0"/>
        <w:spacing w:before="0" w:after="0"/>
        <w:ind w:left="240" w:right="0" w:firstLine="380"/>
        <w:jc w:val="left"/>
        <w:rPr/>
      </w:pPr>
      <w:r>
        <w:rPr>
          <w:color w:val="000000"/>
          <w:spacing w:val="0"/>
          <w:w w:val="100"/>
          <w:shd w:fill="auto" w:val="clear"/>
          <w:lang w:val="en-US" w:eastAsia="en-US" w:bidi="en-US"/>
        </w:rPr>
        <w:t>Die Unvollkommenheit und Begrenztheit des Menschen und der Regierung kann auf demokratischer Basis besser zum Ausdruck gebracht werden als auf irgendeiner anderen Grundlage ...</w:t>
      </w:r>
    </w:p>
    <w:p>
      <w:pPr>
        <w:pStyle w:val="Flietext1"/>
        <w:keepNext w:val="false"/>
        <w:keepLines w:val="false"/>
        <w:widowControl w:val="false"/>
        <w:shd w:val="clear" w:color="auto" w:fill="auto"/>
        <w:bidi w:val="0"/>
        <w:spacing w:before="0" w:after="280"/>
        <w:ind w:left="240" w:right="0" w:firstLine="380"/>
        <w:jc w:val="left"/>
        <w:rPr/>
      </w:pPr>
      <w:r>
        <w:rPr>
          <w:color w:val="000000"/>
          <w:spacing w:val="0"/>
          <w:w w:val="100"/>
          <w:shd w:fill="auto" w:val="clear"/>
          <w:vertAlign w:val="superscript"/>
          <w:lang w:val="en-US" w:eastAsia="en-US" w:bidi="en-US"/>
        </w:rPr>
        <w:t>(D) Die Notwendigkeit einer mehrheitlichen Zustimmung ist eine der strengsten und wirksamsten Beschränkungen für die Regierung, die jemals entwickelt wurden514</w:t>
      </w:r>
    </w:p>
    <w:p>
      <w:pPr>
        <w:pStyle w:val="Flietext21"/>
        <w:keepNext w:val="false"/>
        <w:keepLines w:val="false"/>
        <w:widowControl w:val="false"/>
        <w:numPr>
          <w:ilvl w:val="0"/>
          <w:numId w:val="43"/>
        </w:numPr>
        <w:shd w:val="clear" w:color="auto" w:fill="auto"/>
        <w:tabs>
          <w:tab w:val="clear" w:pos="720"/>
          <w:tab w:val="left" w:pos="646" w:leader="none"/>
        </w:tabs>
        <w:bidi w:val="0"/>
        <w:spacing w:lineRule="auto" w:line="213" w:before="0" w:after="0"/>
        <w:ind w:left="0" w:right="0" w:firstLine="280"/>
        <w:jc w:val="both"/>
        <w:rPr/>
      </w:pPr>
      <w:r>
        <w:rPr>
          <w:color w:val="000000"/>
          <w:spacing w:val="0"/>
          <w:w w:val="100"/>
          <w:shd w:fill="auto" w:val="clear"/>
          <w:lang w:val="en-US" w:eastAsia="en-US" w:bidi="en-US"/>
        </w:rPr>
        <w:t>Benn &amp; Peters, Social Principles and the Democratic State (London: George Allen &amp; Unwin Ltd., 1959), p. 341.</w:t>
      </w:r>
    </w:p>
    <w:p>
      <w:pPr>
        <w:pStyle w:val="Flietext21"/>
        <w:keepNext w:val="false"/>
        <w:keepLines w:val="false"/>
        <w:widowControl w:val="false"/>
        <w:numPr>
          <w:ilvl w:val="0"/>
          <w:numId w:val="43"/>
        </w:numPr>
        <w:shd w:val="clear" w:color="auto" w:fill="auto"/>
        <w:tabs>
          <w:tab w:val="clear" w:pos="720"/>
          <w:tab w:val="left" w:pos="661" w:leader="none"/>
        </w:tabs>
        <w:bidi w:val="0"/>
        <w:spacing w:lineRule="auto" w:line="189" w:before="0" w:after="0"/>
        <w:ind w:left="0" w:right="0" w:firstLine="240"/>
        <w:jc w:val="left"/>
        <w:rPr/>
      </w:pPr>
      <w:r>
        <w:rPr>
          <w:color w:val="000000"/>
          <w:spacing w:val="0"/>
          <w:w w:val="100"/>
          <w:shd w:fill="auto" w:val="clear"/>
          <w:lang w:val="en-US" w:eastAsia="en-US" w:bidi="en-US"/>
        </w:rPr>
        <w:t>Giovanni Sartori, Demokratische Theorie (New York: Frederick A. Praeger, 1965), p. 178.</w:t>
      </w:r>
    </w:p>
    <w:p>
      <w:pPr>
        <w:pStyle w:val="Flietext21"/>
        <w:keepNext w:val="false"/>
        <w:keepLines w:val="false"/>
        <w:widowControl w:val="false"/>
        <w:numPr>
          <w:ilvl w:val="0"/>
          <w:numId w:val="43"/>
        </w:numPr>
        <w:shd w:val="clear" w:color="auto" w:fill="auto"/>
        <w:tabs>
          <w:tab w:val="clear" w:pos="720"/>
          <w:tab w:val="left" w:pos="701" w:leader="none"/>
        </w:tabs>
        <w:bidi w:val="0"/>
        <w:spacing w:lineRule="auto" w:line="189" w:before="0" w:after="0"/>
        <w:ind w:left="0" w:right="0" w:firstLine="280"/>
        <w:jc w:val="both"/>
        <w:rPr/>
      </w:pPr>
      <w:r>
        <w:rPr>
          <w:color w:val="000000"/>
          <w:spacing w:val="0"/>
          <w:w w:val="100"/>
          <w:shd w:fill="auto" w:val="clear"/>
          <w:lang w:val="en-US" w:eastAsia="en-US" w:bidi="en-US"/>
        </w:rPr>
        <w:t>Ebd., p. 403.</w:t>
      </w:r>
    </w:p>
    <w:p>
      <w:pPr>
        <w:pStyle w:val="Flietext21"/>
        <w:keepNext w:val="false"/>
        <w:keepLines w:val="false"/>
        <w:widowControl w:val="false"/>
        <w:numPr>
          <w:ilvl w:val="0"/>
          <w:numId w:val="43"/>
        </w:numPr>
        <w:shd w:val="clear" w:color="auto" w:fill="auto"/>
        <w:tabs>
          <w:tab w:val="clear" w:pos="720"/>
          <w:tab w:val="left" w:pos="637" w:leader="none"/>
        </w:tabs>
        <w:bidi w:val="0"/>
        <w:spacing w:lineRule="auto" w:line="213" w:before="0" w:after="0"/>
        <w:ind w:left="0" w:right="0" w:firstLine="280"/>
        <w:jc w:val="both"/>
        <w:rPr/>
      </w:pPr>
      <w:r>
        <w:rPr>
          <w:color w:val="000000"/>
          <w:spacing w:val="0"/>
          <w:w w:val="100"/>
          <w:shd w:fill="auto" w:val="clear"/>
          <w:lang w:val="en-US" w:eastAsia="en-US" w:bidi="en-US"/>
        </w:rPr>
        <w:t>John A. Rohr, „Just Wars and Selective Objectors“, in The Review of Politics, Bd. 33 Nr. 2 (April 1971), p. 199.</w:t>
      </w:r>
    </w:p>
    <w:p>
      <w:pPr>
        <w:pStyle w:val="Flietext21"/>
        <w:keepNext w:val="false"/>
        <w:keepLines w:val="false"/>
        <w:widowControl w:val="false"/>
        <w:numPr>
          <w:ilvl w:val="0"/>
          <w:numId w:val="43"/>
        </w:numPr>
        <w:shd w:val="clear" w:color="auto" w:fill="auto"/>
        <w:tabs>
          <w:tab w:val="clear" w:pos="720"/>
          <w:tab w:val="left" w:pos="661" w:leader="none"/>
        </w:tabs>
        <w:bidi w:val="0"/>
        <w:spacing w:lineRule="auto" w:line="189" w:before="0" w:after="200"/>
        <w:ind w:left="0" w:right="0" w:firstLine="240"/>
        <w:jc w:val="left"/>
        <w:rPr/>
      </w:pPr>
      <w:r>
        <w:rPr>
          <w:color w:val="000000"/>
          <w:spacing w:val="0"/>
          <w:w w:val="100"/>
          <w:shd w:fill="auto" w:val="clear"/>
          <w:lang w:val="en-US" w:eastAsia="en-US" w:bidi="en-US"/>
        </w:rPr>
        <w:t>Benn &amp; Peters, Soziale Prinzipien und der Demokratische Staat, p. 337.</w:t>
      </w:r>
    </w:p>
    <w:p>
      <w:pPr>
        <w:pStyle w:val="Flietext1"/>
        <w:keepNext w:val="false"/>
        <w:keepLines w:val="false"/>
        <w:widowControl w:val="false"/>
        <w:shd w:val="clear" w:color="auto" w:fill="auto"/>
        <w:bidi w:val="0"/>
        <w:spacing w:before="0" w:after="280"/>
        <w:ind w:left="0" w:right="0" w:hanging="0"/>
        <w:jc w:val="both"/>
        <w:rPr/>
      </w:pPr>
      <w:r>
        <w:rPr>
          <w:color w:val="000000"/>
          <w:spacing w:val="0"/>
          <w:w w:val="100"/>
          <w:shd w:fill="auto" w:val="clear"/>
          <w:lang w:val="en-US" w:eastAsia="en-US" w:bidi="en-US"/>
        </w:rPr>
        <w:t>und Russell schlägt in ähnlicher Weise vor, dass „Demokratie ein Mittel ist – das beste, das bisher erfunden wurde – um die Einmischung von Regierungen in die Freiheit so weit wie möglich zu verringern.“515 Sogar das Umfeld, das den Aufstieg des historischen Liberalismus begleitete, wird in der im Wesentlichen treffenden Behauptung von a heraufbeschworen kritisieren, dass Bürger bei einer solchen Sichtweise „ein passives Objekt der Handlungen anderer“ werden und</w:t>
      </w:r>
    </w:p>
    <w:p>
      <w:pPr>
        <w:pStyle w:val="Flietext1"/>
        <w:keepNext w:val="false"/>
        <w:keepLines w:val="false"/>
        <w:widowControl w:val="false"/>
        <w:shd w:val="clear" w:color="auto" w:fill="auto"/>
        <w:bidi w:val="0"/>
        <w:spacing w:before="0" w:after="280"/>
        <w:ind w:left="240" w:right="0" w:firstLine="380"/>
        <w:jc w:val="left"/>
        <w:rPr/>
      </w:pPr>
      <w:r>
        <w:rPr>
          <w:color w:val="000000"/>
          <w:spacing w:val="0"/>
          <w:w w:val="100"/>
          <w:shd w:fill="auto" w:val="clear"/>
          <w:vertAlign w:val="superscript"/>
          <w:lang w:val="en-US" w:eastAsia="en-US" w:bidi="en-US"/>
        </w:rPr>
        <w:t>sollen über eine Welt richten, die sie nie geschaffen haben, und so zu einem vornehmen Gegenstück zu dem Mob werden, der sporadisch aristokratische Regierungen im Europa des 18. und 19. Jahrhunderts absetzte.516</w:t>
      </w:r>
    </w:p>
    <w:p>
      <w:pPr>
        <w:pStyle w:val="Flietext21"/>
        <w:keepNext w:val="false"/>
        <w:keepLines w:val="false"/>
        <w:widowControl w:val="false"/>
        <w:numPr>
          <w:ilvl w:val="0"/>
          <w:numId w:val="43"/>
        </w:numPr>
        <w:shd w:val="clear" w:color="auto" w:fill="auto"/>
        <w:tabs>
          <w:tab w:val="clear" w:pos="720"/>
          <w:tab w:val="left" w:pos="625" w:leader="none"/>
        </w:tabs>
        <w:bidi w:val="0"/>
        <w:spacing w:lineRule="auto" w:line="213" w:before="0" w:after="0"/>
        <w:ind w:left="0" w:right="0" w:firstLine="280"/>
        <w:jc w:val="both"/>
        <w:rPr/>
      </w:pPr>
      <w:r>
        <w:rPr>
          <w:color w:val="000000"/>
          <w:spacing w:val="0"/>
          <w:w w:val="100"/>
          <w:shd w:fill="auto" w:val="clear"/>
          <w:lang w:val="en-US" w:eastAsia="en-US" w:bidi="en-US"/>
        </w:rPr>
        <w:t>Peter F. Drucker, The Future of Industrial Man: A Conservative Approach (London: W. Heinemann, 1943), p. 125.</w:t>
      </w:r>
    </w:p>
    <w:p>
      <w:pPr>
        <w:pStyle w:val="Flietext21"/>
        <w:keepNext w:val="false"/>
        <w:keepLines w:val="false"/>
        <w:widowControl w:val="false"/>
        <w:numPr>
          <w:ilvl w:val="0"/>
          <w:numId w:val="43"/>
        </w:numPr>
        <w:shd w:val="clear" w:color="auto" w:fill="auto"/>
        <w:tabs>
          <w:tab w:val="clear" w:pos="720"/>
          <w:tab w:val="left" w:pos="639" w:leader="none"/>
        </w:tabs>
        <w:bidi w:val="0"/>
        <w:spacing w:lineRule="auto" w:line="192" w:before="0" w:after="0"/>
        <w:ind w:left="0" w:right="0" w:firstLine="240"/>
        <w:jc w:val="left"/>
        <w:rPr/>
      </w:pPr>
      <w:r>
        <w:rPr>
          <w:color w:val="000000"/>
          <w:spacing w:val="0"/>
          <w:w w:val="100"/>
          <w:shd w:fill="auto" w:val="clear"/>
          <w:lang w:val="en-US" w:eastAsia="en-US" w:bidi="en-US"/>
        </w:rPr>
        <w:t>Russell, Politische Ideale, S. 22.</w:t>
      </w:r>
    </w:p>
    <w:p>
      <w:pPr>
        <w:pStyle w:val="Flietext21"/>
        <w:keepNext w:val="false"/>
        <w:keepLines w:val="false"/>
        <w:widowControl w:val="false"/>
        <w:numPr>
          <w:ilvl w:val="0"/>
          <w:numId w:val="43"/>
        </w:numPr>
        <w:shd w:val="clear" w:color="auto" w:fill="auto"/>
        <w:tabs>
          <w:tab w:val="clear" w:pos="720"/>
          <w:tab w:val="left" w:pos="625" w:leader="none"/>
        </w:tabs>
        <w:bidi w:val="0"/>
        <w:spacing w:lineRule="auto" w:line="216" w:before="0" w:after="200"/>
        <w:ind w:left="0" w:right="0" w:firstLine="280"/>
        <w:jc w:val="both"/>
        <w:rPr/>
      </w:pPr>
      <w:r>
        <w:rPr>
          <w:color w:val="000000"/>
          <w:spacing w:val="0"/>
          <w:w w:val="100"/>
          <w:shd w:fill="auto" w:val="clear"/>
          <w:lang w:val="en-US" w:eastAsia="en-US" w:bidi="en-US"/>
        </w:rPr>
        <w:t>Lane Davis, „Die Kosten des Realismus: Zeitgenössische Neuformulierungen der Demokratie“, in The Western Political Quarterly, Bd. XVII, Nr. 1 (März 1964), p. 45.</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Der allgemeine Umriss ist klar: Der demokratische Revisionismus schreibt die Herrschaft der Experten vor, die einer Expertenwählerschaft durch periodische Wahlen verantwortlich sind, deren Zweck es ist, die Experten davon abzuhalten, ihre Macht zu missbrauchen. Die durch Wahlen zum Ausdruck gebrachte Zustimmung bezieht sich nicht auf bestimmte Politiken, sondern nur auf die bisherige allgemeine Bilanz der Amtsinhaber; es ist sowohl negativ als auch rückwärtsgewandt. Obwohl der so ausgedrückte Mehrheitswille keine Betonung darauf legt, bestimmte Richtlinien zu bestimmen, würde ein solches System auf lange Sicht dazu neigen, Gesetze zu schaffen, die im Allgemeinen mit dem Mehrheitswillen übereinstimmen, und zwar auf die gleiche allmähliche, aber unaufhaltsame Weise, wie die Evolution dazu neigt, die am besten angepassten Arten hervorzubringen ihre Umwelt. Die durch Wahlen zum Ausdruck gebrachte Zustimmung bezieht sich auf die Aussage, „dass das System im Großen und Ganzen für mich zufriedenstellend ist“, und es erscheint nicht unangemessen, dass dies eine gewisse Verpflichtung nach sich ziehen sollte.</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Ein solcher Vorschlag ist jedoch mit einer Reihe von Schwierigkeiten verbunden. Erstens ist die Verpflichtung, die sich aus einer solchen Zustimmung in einem solchen System ergibt, in keiner Weise vergleichbar mit der Verpflichtung, die für ein System gilt, das eine Zustimmung beinhaltet, die eine Verantwortlichkeit beinhaltet; das schwächere Gefühl der „Zustimmung“ impliziert ein schwächeres Verpflichtungsgefühl.</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Zweitens besteht eine notwendige Lücke darin, dass die Einwilligungsfrage immer rückwirkend beantwortet wird. Der betroffene Bürger hat keine Möglichkeit, definitiv festzustellen, ob die aktuelle Politik X so beschaffen ist, dass sie genügend Widerstand erzeugt, um die mehrheitliche Zustimmung dieser Expertensendung bei den nächsten Wahlen zurückzuziehen; Eine solche Frage kann erst bei der nächsten Wahl beantwortet werden, und selbst dann nicht so, dass darauf hingewiesen wird, ob Politik X etwas damit zu tun hatte. Obwohl es sich um eine Einwilligung handelt, handelt es sich um eine Einwilligung, die nur lange nach dem Ereignis erteilt werden kann und daher zum Zeitpunkt des Ereignisses nicht mit einer betroffenen Person sprechen kann, außer mutmaßlich.</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Drittens überträgt sich die begrenzte Verpflichtung, die in einem solchen System entstehen kann, nicht auf die Minderheit. Bei jeder Wahl geht es darum, ob die Regeln der Experten zufriedenstellend sind oder ob sie außer Kontrolle geraten sind. Bei der Wiederwahl der Experten wird der Anspruch der Minderheit, sie seien aus dem Ruder gelaufen, zurückgewiesen. Der Schutz gegen ein Überhandnehmen einer Regierung, die eine Gegenleistungsgrundlage für eine Verpflichtung liefern könnte, hat sich für diese Minderheit als unwirksam erwiesen, und das Argument versagt.</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Die schwache Form des Konsenses, die im demokratisch-revisionistischen Modell angenommen wird, mag eine realistische Beschreibung der Funktionsweise einer Demokratie sein oder auch nicht, aber sie löst für die Theorie des demokratischen Konsenses nicht das Problem der Verpflichtung.</w:t>
      </w:r>
    </w:p>
    <w:p>
      <w:pPr>
        <w:pStyle w:val="Flietext1"/>
        <w:keepNext w:val="false"/>
        <w:keepLines w:val="false"/>
        <w:widowControl w:val="false"/>
        <w:shd w:val="clear" w:color="auto" w:fill="auto"/>
        <w:bidi w:val="0"/>
        <w:spacing w:before="0" w:after="260"/>
        <w:ind w:left="0" w:right="0" w:firstLine="320"/>
        <w:jc w:val="both"/>
        <w:rPr/>
      </w:pPr>
      <w:r>
        <w:rPr>
          <w:color w:val="000000"/>
          <w:spacing w:val="0"/>
          <w:w w:val="100"/>
          <w:shd w:fill="auto" w:val="clear"/>
          <w:lang w:val="en-US" w:eastAsia="en-US" w:bidi="en-US"/>
        </w:rPr>
        <w:t>Eine ähnliche Verminderung des demokratischen Ideals findet durch die demokratischen Eliten statt, zu denen Schriftsteller wie Schumpeter und Sartori568 (mit offensichtlichen Schulden gegenüber Mosca und Pareto) gehören. (Einige wie Pateman569 und Pranger519 würden Dahl einschließen. Dahl ist natürlich eher ein problematischer Fall; Wer regiert? Unterstützt elitäre Schlussfolgerungen; Vorwort zur Demokratischen Theorie neigt zu pluralistischen Positionen; Nach der Revolution? und „Die Stadt in der Zukunft der Demokratie“ neigt eher zu klassischen Ansichten, wobei „Further Reflections“ darauf hindeuten, dass sein demokratischer Elitismus beschreibend sein soll, was auf eine Realität hinweist, die nicht beklatscht wird, sondern überschritten werden muss. die präskriptiven Präferenzen der Autoren sind sekundär, und Dahls Who Governs? kann in die Liste aufgenommen werden.) Das zentrale Kriterium der Demokratie reduziert sich nach Meinung der demokratischen Eliten auf einen Prozess, den Schumpeter in dem wohl meistzitierten Satz zusammenfasst in der zeitgenössischen politischen Theorie:</w:t>
      </w:r>
    </w:p>
    <w:p>
      <w:pPr>
        <w:pStyle w:val="Flietext1"/>
        <w:keepNext w:val="false"/>
        <w:keepLines w:val="false"/>
        <w:widowControl w:val="false"/>
        <w:shd w:val="clear" w:color="auto" w:fill="auto"/>
        <w:bidi w:val="0"/>
        <w:spacing w:lineRule="auto" w:line="252" w:before="0" w:after="0"/>
        <w:ind w:left="320" w:right="0" w:firstLine="300"/>
        <w:jc w:val="left"/>
        <w:rPr/>
      </w:pPr>
      <w:r>
        <w:rPr>
          <w:color w:val="000000"/>
          <w:spacing w:val="0"/>
          <w:w w:val="100"/>
          <w:shd w:fill="auto" w:val="clear"/>
          <w:vertAlign w:val="superscript"/>
          <w:lang w:val="en-US" w:eastAsia="en-US" w:bidi="en-US"/>
        </w:rPr>
        <w:t>die demokratische Methode ist jenes institutionelle Arrangement zur Herbeiführung politischer Entscheidungen, bei dem Individuen die Entscheidungsgewalt durch einen Konkurrenzkampf um die Stimmen des Volkes erwerben.520</w:t>
      </w:r>
    </w:p>
    <w:p>
      <w:pPr>
        <w:pStyle w:val="Flietext21"/>
        <w:keepNext w:val="false"/>
        <w:keepLines w:val="false"/>
        <w:widowControl w:val="false"/>
        <w:numPr>
          <w:ilvl w:val="0"/>
          <w:numId w:val="44"/>
        </w:numPr>
        <w:shd w:val="clear" w:color="auto" w:fill="auto"/>
        <w:tabs>
          <w:tab w:val="clear" w:pos="720"/>
          <w:tab w:val="left" w:pos="620" w:leader="none"/>
        </w:tabs>
        <w:bidi w:val="0"/>
        <w:spacing w:lineRule="auto" w:line="213" w:before="0" w:after="0"/>
        <w:ind w:left="0" w:right="0" w:firstLine="280"/>
        <w:jc w:val="both"/>
        <w:rPr/>
      </w:pPr>
      <w:r>
        <w:rPr>
          <w:color w:val="000000"/>
          <w:spacing w:val="0"/>
          <w:w w:val="100"/>
          <w:shd w:fill="auto" w:val="clear"/>
          <w:lang w:val="en-US" w:eastAsia="en-US" w:bidi="en-US"/>
        </w:rPr>
        <w:t>Robert Pranger, The Eclipse of Citizenship: Power and^ Participation in Contemporary Politics (New York: Holt, Rinehart &amp; Winston, Inc., 1968), p. 3.</w:t>
      </w:r>
    </w:p>
    <w:p>
      <w:pPr>
        <w:pStyle w:val="Flietext21"/>
        <w:keepNext w:val="false"/>
        <w:keepLines w:val="false"/>
        <w:widowControl w:val="false"/>
        <w:numPr>
          <w:ilvl w:val="0"/>
          <w:numId w:val="44"/>
        </w:numPr>
        <w:shd w:val="clear" w:color="auto" w:fill="auto"/>
        <w:tabs>
          <w:tab w:val="clear" w:pos="720"/>
          <w:tab w:val="left" w:pos="670" w:leader="none"/>
        </w:tabs>
        <w:bidi w:val="0"/>
        <w:spacing w:lineRule="auto" w:line="189" w:before="0" w:after="200"/>
        <w:ind w:left="0" w:right="0" w:firstLine="280"/>
        <w:jc w:val="both"/>
        <w:rPr/>
      </w:pPr>
      <w:r>
        <w:rPr>
          <w:color w:val="000000"/>
          <w:spacing w:val="0"/>
          <w:w w:val="100"/>
          <w:shd w:fill="auto" w:val="clear"/>
          <w:lang w:val="en-US" w:eastAsia="en-US" w:bidi="en-US"/>
        </w:rPr>
        <w:t>schumpeter, Kapitalismus, Sozialismus und Demokratie, p. 264.</w:t>
      </w:r>
    </w:p>
    <w:p>
      <w:pPr>
        <w:pStyle w:val="Flietext1"/>
        <w:keepNext w:val="false"/>
        <w:keepLines w:val="false"/>
        <w:widowControl w:val="false"/>
        <w:shd w:val="clear" w:color="auto" w:fill="auto"/>
        <w:bidi w:val="0"/>
        <w:spacing w:lineRule="auto" w:line="240" w:before="0" w:after="0"/>
        <w:ind w:left="0" w:right="0" w:hanging="0"/>
        <w:jc w:val="both"/>
        <w:rPr/>
      </w:pPr>
      <w:r>
        <w:rPr>
          <w:color w:val="000000"/>
          <w:spacing w:val="0"/>
          <w:w w:val="100"/>
          <w:shd w:fill="auto" w:val="clear"/>
          <w:vertAlign w:val="superscript"/>
          <w:lang w:val="en-US" w:eastAsia="en-US" w:bidi="en-US"/>
        </w:rPr>
        <w:t>In ähnlicher Weise reduziert Sartori die Demokratie auf die Aussage, dass „(a)unter den möglichen Vorgehensweisen diejenige angenommen wird, die von der Mehrheit der Wähler gebilligt wird.“568</w:t>
      </w:r>
    </w:p>
    <w:p>
      <w:pPr>
        <w:pStyle w:val="Flietext1"/>
        <w:keepNext w:val="false"/>
        <w:keepLines w:val="false"/>
        <w:widowControl w:val="false"/>
        <w:shd w:val="clear" w:color="auto" w:fill="auto"/>
        <w:bidi w:val="0"/>
        <w:spacing w:before="0" w:after="100"/>
        <w:ind w:left="0" w:right="0" w:firstLine="280"/>
        <w:jc w:val="both"/>
        <w:rPr/>
      </w:pPr>
      <w:r>
        <w:rPr>
          <w:color w:val="000000"/>
          <w:spacing w:val="0"/>
          <w:w w:val="100"/>
          <w:shd w:fill="auto" w:val="clear"/>
          <w:lang w:val="en-US" w:eastAsia="en-US" w:bidi="en-US"/>
        </w:rPr>
        <w:t>Hintergrund dieser Prozesstheorie der Demokratie ist die soziologische Doktrin, dass jede Gesellschaft zwangsläufig von einer zahlenmäßig kleinen Elite dominiert wird, die effektive politische Macht ausübt, wie auch immer die formale Regierungsstruktur aussehen mag. Das Volk ist Zuschauer und nicht Beteiligter an der Entscheidungsfindung, was mit einer „realistischen“ Einschätzung der Wählerschaft begründet wird: „Die Wählermasse“, sagt Schumpeter, „ist außer einem Ansturm handlungsunfähig.“568 Der Grund dafür Demokratie in einem solchen Kontext immer noch Bedeutung haben kann, besteht darin, dass die Elite nicht monolithisch ist, sondern durch Konkurrenz gespalten, und die Abstimmung für die Massen zu einem effektiven Mittel wird, um zwischen konkurrierenden Eliten zu wählen. Die Konkurrenten um die politische Macht werden nicht von den Wählern generiert, sondern wählen sich selbst aus, in dem Sinne, dass wichtige programmatische Unterschiede innerhalb der Elite den Wettbewerb schaffen, der nach einer Lösung durch den demokratischen Prozess verlangt. (Warum sie sich nicht in einen verrauchten Raum hinter den Kulissen zurückziehen, um einen Kompromiss auszuarbeiten, ist nicht klar.) Der Zweck von Wahlen, sagt Viereck, sei nicht, das Volk regieren zu lassen, „eine bloße Lehrbuchmaxime“, sondern „zu entscheiden, welche Untergruppe der Elite das Volk beherrschen soll.“569 Aus einer solchen Sichtweise sind Zustände wie der englische Rosenkrieg endemisch, nur anstatt sich Rüstungen umzuschnallen und darauf zuzugehen, dezimieren den Adel/die Elite in der Beide Seiten verweisen sie daher an Werbeagenturen, und das Aufeinanderprallen und Klirren beschränkt sich auf den Äther und die Werbetafeln. „Niedrige Steuern mit Lancaster.“ „York – ein Mann für morgen.“ Der moderne Bauer hat eine gewisse Auswahl, und zumindest hat er keine Ritter, die in den Weizenfeldern kämpfen, aber die Adelshäuser sind bei weitem nicht seine Diener. Wie beim demokratisch-revisionistischen Modell (von dem das elitäre Modell nur eine stärkere Version ist) wird keine starke Verbindung zwischen Mehrheitspräferenz und Regierungspolitik postuliert.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Schumpeters Prozesstheorie der Demokratie war am einflussreichsten, aber ihre Wirkung auf die Konsenstheorie als Rechtfertigung für Verpflichtungen ist verheerend, wie gezeigt werden kann, ohne sich auch nur auf das Minderheitenproblem zu beziehen. Das offensichtliche Merkmal des konkurrierenden Elitemodells ist weniger die Konkurrenz als vielmehr der Elitismus. Wenn für Hobbes die Freiheit im Schweigen der Gesetze lag, dann liegt sie für dieses Modell in den Schlachtfeldern der Eliten; Auch wenn der Bürger der Zuschauer ist, der vom Streit profitiert, kann er nur dort profitieren, wo Streit ist. Wenn die Eliten keine Meinungsverschiedenheiten haben, gibt es kein Schlachtfeld und keine Alternativen, zwischen denen der Einzelne wählen kann; diese Einschränkung der Wahlmöglichkeit reduziert alle Verpflichtungen, die sich aus der Ausübung dieser Wahlmöglichkeit ergeben.</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Genauer gesagt, wenn man sich eine Reihe von Alternativen A bis Z vorstellen kann, aber die Wahl zwischen A und B angeboten wird, dann kann man eine Präferenz für A angeben, ohne die tiefere Präferenz für (sagen wir) Q aufzugeben. Man kann sagen, dass er es ist sich verpflichtet haben, A gegenüber B zu akzeptieren, ohne sich selbst zu verpflichten, A gegenüber Q zu akzeptieren; man kann sagen, dass er B abgelehnt hat, sich nicht zu A verpflichtet hat, weil man sich durch das Treffen einer Wahl nur innerhalb der Grenzen der Wahl verpflichtet. (Eine Diskussion darüber, welche Form des Sterbens am wenigsten unangenehm ist, ist kein Selbstmordpakt.) Das traditionelle Demokratiemodell weicht dieser Falle aus, indem es darauf hindeutet, dass die Liste der Alternativen unbegrenzt ist und die tatsächliche endliche Liste, die am Wahltag präsentiert wird, nicht willkürlich, sondern selbst eine ist Produkt populärer Vorlieben und Aktivitäten; die Wahlmöglichkeiten des pluralistischen Modells sind nie formal begrenzt; das revisionistische Modell reduziert das Problem, indem es als Alternativen „A“ und „Nicht-A“ anbietet und sowohl Q als auch B zu einer „Nicht-A“-Stimme macht; das elitäre Modell weist jedoch am deutlichsten darauf hin, dass die Auswahlmöglichkeiten durch Faktoren begrenzt sind, die nicht unter der Kontrolle des Wählers stehen, und verstößt daher am offensichtlichsten gegen diesen speziellen Einwand. Obwohl man sagen kann, dass eine Abstimmung für eine konkurrierende Elite über eine andere eine Art Zustimmung impliziert, ist es keine Zustimmung, die ein umfassendes Maß an Verpflichtung begründet.</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Der Zweck der bisherigen Argumentation bestand darin, auf die Schwierigkeit hinzuweisen, eine starke Verbindung zwischen einer bestimmten Regierungshandlung und der schwachen oder starken „Zustimmung“ einer Mehrheit der Bevölkerung nachzuweisen. Bei allen diskutierten Ansichten über Demokratie ist die Verbindung zwischen Volk und Politik in einer repräsentativen Demokratie so, dass es nicht unbedingt wahr ist, dass die beiden in einer bestimmten Frage übereinstimmen.</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Es gibt jedoch ein grundlegenderes Problem, das für die Angemessenheit der Theorie des demokratischen Konsenses als Rechtfertigung politischer Verpflichtung relevant ist. Selbst wenn wir eine tatsächliche Politik auf Mehrheitspräferenzen reduzieren können, ist es nicht selbstverständlich, dass diese Notwendigkeit irgendwelche Auswirkungen auf die Verpflichtung irgendeines anderen als dieser Mehrheit hat. Der Kern der Demokratietheorie ist ein Prinzip der Mehrheitsverpflichtung, und es muss gezeigt werden, dass eine solche Verpflichtung für die Minderheit relevant ist, bevor selbst eine ideale Demokratie sich selbst eine Gesellschaft der Zustimmung statt einer gemischten Zustimmung und des Zwanges nennen kann.</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Um es deutlich zu sagen: Insofern die demokratische Verpflichtungstheorie demokratische Konsenstheorie ist (und nur insofern kann sie unter den Aufgabenbereich dieser Diskussion fallen), ist das Problem der abweichenden Minderheit ein Problem, weil per Definition man kann nicht durch dieselbe Handlung dem gleichen Vorschlag widersprechen und ihm zustimmen. Es gibt nur eine begrenzte Anzahl von Möglichkeiten, wie diesem Problem begegnet werden kann. Erstens kann die Minderheit davon überzeugt werden, nicht länger zu widersprechen, ihre Opposition zurückzuziehen; Dies löst das Problem nicht, sondern fordert es lediglich auf, zu verschwinden. Eine zweite logische Möglichkeit, die Überstunden für Gasöfen für diese Minderheit, liquidiert das Problem wiederum nur, ohne es zu lösen, und kann sicherlich von der Hand gewiesen werden. Jede Bezugnahme auf andere Faktoren als die Zustimmung – insbesondere auf den Erhalt von „Leistungen“ – ist ein Rückzug aus der Zustimmungstheorie und daher unzulässig.</w:t>
      </w:r>
    </w:p>
    <w:p>
      <w:pPr>
        <w:pStyle w:val="Flietext1"/>
        <w:keepNext w:val="false"/>
        <w:keepLines w:val="false"/>
        <w:widowControl w:val="false"/>
        <w:shd w:val="clear" w:color="auto" w:fill="auto"/>
        <w:bidi w:val="0"/>
        <w:spacing w:before="0" w:after="280"/>
        <w:ind w:left="0" w:right="0" w:firstLine="320"/>
        <w:jc w:val="both"/>
        <w:rPr/>
      </w:pPr>
      <w:r>
        <w:rPr>
          <w:color w:val="000000"/>
          <w:spacing w:val="0"/>
          <w:w w:val="100"/>
          <w:shd w:fill="auto" w:val="clear"/>
          <w:lang w:val="en-US" w:eastAsia="en-US" w:bidi="en-US"/>
        </w:rPr>
        <w:t>Auf den ersten Blick scheint also das Minderheitenproblem der Theorie des demokratischen Konsens in eine Sackgasse zu geraten. Die Literatur ist voll von Versuchen, diese Sackgasse zu umgehen, und einige der bedeutenderen Bemühungen werden der Reihe nach untersucht.</w:t>
      </w:r>
    </w:p>
    <w:p>
      <w:pPr>
        <w:pStyle w:val="Flietext1"/>
        <w:keepNext w:val="false"/>
        <w:keepLines w:val="false"/>
        <w:widowControl w:val="false"/>
        <w:numPr>
          <w:ilvl w:val="0"/>
          <w:numId w:val="45"/>
        </w:numPr>
        <w:shd w:val="clear" w:color="auto" w:fill="auto"/>
        <w:tabs>
          <w:tab w:val="clear" w:pos="720"/>
          <w:tab w:val="left" w:pos="409" w:leader="none"/>
        </w:tabs>
        <w:bidi w:val="0"/>
        <w:spacing w:before="0" w:after="120"/>
        <w:ind w:left="0" w:right="0" w:hanging="0"/>
        <w:jc w:val="both"/>
        <w:rPr/>
      </w:pPr>
      <w:r>
        <w:rPr>
          <w:color w:val="000000"/>
          <w:spacing w:val="0"/>
          <w:w w:val="100"/>
          <w:u w:val="single"/>
          <w:shd w:fill="auto" w:val="clear"/>
          <w:lang w:val="en-US" w:eastAsia="en-US" w:bidi="en-US"/>
        </w:rPr>
        <w:t>Der allgemeine Wille</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Oft wird ein Argument vorgeschlagen, das allgemein Rousseau zugeschrieben wird; eine solche Zuschreibung können wir aufgrund der Auseinandersetzung mit Rousseau als verleumderisch abtun, sie ist aber dennoch aktuell, da sie auf einem „allgemeinen Willen“ beruht.</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Die einleitenden Begriffe der Argumentation lassen sich mit einem Zitat von Swabey andeuten: „weil demokratisches Denken den Staat als abhängig von bewusster Zustimmung ansieht, betrachtet es die organisierte Gesellschaft weniger als wirtschaftliches Ganzes als als vereinten Volkswillen“524 oder in Umwegform von Habermas525, der den Mehrheitsschluss nur als ein früheres Stadium dessen ansieht, was, abgesehen von zeitlichen Beschränkungen, zur Einstimmigkeit werden würde. Wenn die Gemeinschaft als Ganzes einen Willen hat, dann folgt daraus, dass die Gemeinschaft und ihre Amtsträger berechtigt (wenn nicht verpflichtet) sind, diesen Willen Andersdenkenden aufzuzwingen, wobei solche Andersdenkenden entweder irrtümlich, böse oder nicht wirklich Mitglieder sind überhaupt.</w:t>
      </w:r>
    </w:p>
    <w:p>
      <w:pPr>
        <w:pStyle w:val="Flietext1"/>
        <w:keepNext w:val="false"/>
        <w:keepLines w:val="false"/>
        <w:widowControl w:val="false"/>
        <w:shd w:val="clear" w:color="auto" w:fill="auto"/>
        <w:bidi w:val="0"/>
        <w:spacing w:before="0" w:after="0"/>
        <w:ind w:left="0" w:right="0" w:firstLine="300"/>
        <w:jc w:val="both"/>
        <w:rPr/>
      </w:pPr>
      <w:r>
        <w:rPr>
          <w:color w:val="000000"/>
          <w:spacing w:val="0"/>
          <w:w w:val="100"/>
          <w:shd w:fill="auto" w:val="clear"/>
          <w:lang w:val="en-US" w:eastAsia="en-US" w:bidi="en-US"/>
        </w:rPr>
        <w:t>Zwei Probleme führen zu einer solchen Antwort auf die Sackgasse der Minderheit. Erstens, warum sollte man annehmen, dass eine Gemeinschaft einen so einheitlichen Willen besitzt? Es ist alles andere als offensichtlich, dass es zu einem bestimmten Thema einen Mehrheitswillen geben muss, geschweige denn, dass ein solcher Wille, wenn er vorhanden ist, legitim oder sinnvoll auf die gesamte Gesellschaft projiziert werden kann. Tatsächlich widerlegt die bloße Existenz einer bedeutenden abweichenden Minderheit die Behauptung eines einheitlichen Willens; das Problem widerlegt die Behauptung, die es lösen soll. Die Wahl des Mehrheitswillens mag sich aus praktischen Gründen empfehlen, aber das ist eine andere Frage und muss als solche anerkannt werden; es erklärt nicht, warum die Minderheit dem Willen eines anderen nachgeben sollte.</w:t>
      </w:r>
    </w:p>
    <w:p>
      <w:pPr>
        <w:pStyle w:val="Flietext1"/>
        <w:keepNext w:val="false"/>
        <w:keepLines w:val="false"/>
        <w:widowControl w:val="false"/>
        <w:shd w:val="clear" w:color="auto" w:fill="auto"/>
        <w:bidi w:val="0"/>
        <w:spacing w:before="0" w:after="280"/>
        <w:ind w:left="0" w:right="0" w:firstLine="300"/>
        <w:jc w:val="both"/>
        <w:rPr/>
      </w:pPr>
      <w:r>
        <w:rPr>
          <w:color w:val="000000"/>
          <w:spacing w:val="0"/>
          <w:w w:val="100"/>
          <w:shd w:fill="auto" w:val="clear"/>
          <w:lang w:val="en-US" w:eastAsia="en-US" w:bidi="en-US"/>
        </w:rPr>
        <w:t>Zweitens, selbst wenn die Gemeinschaft einen einheitlichen Willen hat, aus welchen Gründen wird dieser Wille mit der Mehrheit identifiziert? Warum nicht mit der Minderheit? Oder mit einem inspirierten Anführer? Wenn man sich von den empirischen Beweisen einer Willensvielfalt entfernt, um einen dahinter lauernden „wirklichen“ einheitlichen Willen zu finden, ist ein Ort so gut wie der andere, um danach zu suchen.</w:t>
      </w:r>
    </w:p>
    <w:p>
      <w:pPr>
        <w:pStyle w:val="Flietext21"/>
        <w:keepNext w:val="false"/>
        <w:keepLines w:val="false"/>
        <w:widowControl w:val="false"/>
        <w:numPr>
          <w:ilvl w:val="0"/>
          <w:numId w:val="46"/>
        </w:numPr>
        <w:shd w:val="clear" w:color="auto" w:fill="auto"/>
        <w:tabs>
          <w:tab w:val="clear" w:pos="720"/>
          <w:tab w:val="left" w:pos="625" w:leader="none"/>
        </w:tabs>
        <w:bidi w:val="0"/>
        <w:spacing w:lineRule="auto" w:line="216" w:before="0" w:after="0"/>
        <w:ind w:left="0" w:right="0" w:firstLine="300"/>
        <w:jc w:val="both"/>
        <w:rPr/>
      </w:pPr>
      <w:r>
        <w:rPr>
          <w:color w:val="000000"/>
          <w:spacing w:val="0"/>
          <w:w w:val="100"/>
          <w:shd w:fill="auto" w:val="clear"/>
          <w:lang w:val="en-US" w:eastAsia="en-US" w:bidi="en-US"/>
        </w:rPr>
        <w:t>Marie Collins Swabey, Theory of the Democratic State (Cambridge: Harvard University Press, 1937), p. 129</w:t>
      </w:r>
    </w:p>
    <w:p>
      <w:pPr>
        <w:pStyle w:val="Flietext21"/>
        <w:keepNext w:val="false"/>
        <w:keepLines w:val="false"/>
        <w:widowControl w:val="false"/>
        <w:numPr>
          <w:ilvl w:val="0"/>
          <w:numId w:val="46"/>
        </w:numPr>
        <w:shd w:val="clear" w:color="auto" w:fill="auto"/>
        <w:tabs>
          <w:tab w:val="clear" w:pos="720"/>
          <w:tab w:val="left" w:pos="625" w:leader="none"/>
        </w:tabs>
        <w:bidi w:val="0"/>
        <w:spacing w:lineRule="auto" w:line="213" w:before="0" w:after="200"/>
        <w:ind w:left="0" w:right="0" w:firstLine="300"/>
        <w:jc w:val="both"/>
        <w:rPr/>
      </w:pPr>
      <w:r>
        <w:rPr>
          <w:color w:val="000000"/>
          <w:spacing w:val="0"/>
          <w:w w:val="100"/>
          <w:shd w:fill="auto" w:val="clear"/>
          <w:lang w:val="en-US" w:eastAsia="en-US" w:bidi="en-US"/>
        </w:rPr>
        <w:t>Jürgen Habermas, Toward a Rational Society: Student Protest, Science and Politics, übers. von Jeremy J. Shapiro (London: Heinemann, 1971), p. 6.</w:t>
      </w:r>
    </w:p>
    <w:p>
      <w:pPr>
        <w:pStyle w:val="Flietext1"/>
        <w:keepNext w:val="false"/>
        <w:keepLines w:val="false"/>
        <w:widowControl w:val="false"/>
        <w:shd w:val="clear" w:color="auto" w:fill="auto"/>
        <w:bidi w:val="0"/>
        <w:spacing w:before="0" w:after="280"/>
        <w:ind w:left="0" w:right="0" w:firstLine="300"/>
        <w:jc w:val="both"/>
        <w:rPr/>
      </w:pPr>
      <w:r>
        <w:rPr>
          <w:color w:val="000000"/>
          <w:spacing w:val="0"/>
          <w:w w:val="100"/>
          <w:shd w:fill="auto" w:val="clear"/>
          <w:lang w:val="en-US" w:eastAsia="en-US" w:bidi="en-US"/>
        </w:rPr>
        <w:t>Das Argument des „allgemeinen Willens“ versagt also; es stellt nicht nur die fragwürdige Annahme eines Einheitswillens auf, sondern kann auch nicht erklären, warum dieser Einheitswille in irgendeiner Beziehung zum Majoritarismus stehen muss.</w:t>
      </w:r>
    </w:p>
    <w:p>
      <w:pPr>
        <w:pStyle w:val="Flietext1"/>
        <w:keepNext w:val="false"/>
        <w:keepLines w:val="false"/>
        <w:widowControl w:val="false"/>
        <w:numPr>
          <w:ilvl w:val="0"/>
          <w:numId w:val="45"/>
        </w:numPr>
        <w:shd w:val="clear" w:color="auto" w:fill="auto"/>
        <w:tabs>
          <w:tab w:val="clear" w:pos="720"/>
          <w:tab w:val="left" w:pos="385" w:leader="none"/>
        </w:tabs>
        <w:bidi w:val="0"/>
        <w:spacing w:before="0" w:after="120"/>
        <w:ind w:left="0" w:right="0" w:hanging="0"/>
        <w:jc w:val="both"/>
        <w:rPr/>
      </w:pPr>
      <w:r>
        <w:rPr>
          <w:color w:val="000000"/>
          <w:spacing w:val="0"/>
          <w:w w:val="100"/>
          <w:shd w:fill="auto" w:val="clear"/>
          <w:lang w:val="en-US" w:eastAsia="en-US" w:bidi="en-US"/>
        </w:rPr>
        <w:t>Unfehlbarkeit der Mehrheit</w:t>
      </w:r>
    </w:p>
    <w:p>
      <w:pPr>
        <w:pStyle w:val="Flietext1"/>
        <w:keepNext w:val="false"/>
        <w:keepLines w:val="false"/>
        <w:widowControl w:val="false"/>
        <w:shd w:val="clear" w:color="auto" w:fill="auto"/>
        <w:bidi w:val="0"/>
        <w:spacing w:before="0" w:after="240"/>
        <w:ind w:left="0" w:right="0" w:firstLine="300"/>
        <w:jc w:val="both"/>
        <w:rPr/>
      </w:pPr>
      <w:r>
        <w:rPr>
          <w:color w:val="000000"/>
          <w:spacing w:val="0"/>
          <w:w w:val="100"/>
          <w:shd w:fill="auto" w:val="clear"/>
          <w:lang w:val="en-US" w:eastAsia="en-US" w:bidi="en-US"/>
        </w:rPr>
        <w:t>Ein zweiter Lösungsvorschlag ist offensichtlich ein Übertrag eines früheren Arguments, dass die Entscheidung der Mehrheit akzeptiert werden sollte, weil die Mehrheit bestenfalls unfehlbar ist und zumindest eher als andere Quellen die „richtige“ Entscheidung trifft. Der Vorschlag geht auf Aristoteles zurück; sein Vorschlag war, dass man kein erfahrener Koch sein müsse, um zu wissen, ob das Essen gut sei.526 Dem Vorschlag wurde widersprochen, bevor er gemacht wurde; Platon argumentierte, dass, selbst wenn Sie allein entscheiden können, ob Ihnen das Essen schmeckt, nur ein Ernährungswissenschaftler sagen kann, ob es gut für Sie ist;527 selten bemerkt wird auch der vorläufige Charakter des Vorschlags, da Aristoteles nur sagte, dass dies manchmal der Fall sein könnte dass viele klüger sind, anstatt zu beweisen, dass es so ist.</w:t>
      </w:r>
    </w:p>
    <w:p>
      <w:pPr>
        <w:pStyle w:val="Flietext1"/>
        <w:keepNext w:val="false"/>
        <w:keepLines w:val="false"/>
        <w:widowControl w:val="false"/>
        <w:shd w:val="clear" w:color="auto" w:fill="auto"/>
        <w:bidi w:val="0"/>
        <w:spacing w:before="0" w:after="0"/>
        <w:ind w:left="0" w:right="0" w:firstLine="300"/>
        <w:jc w:val="both"/>
        <w:rPr/>
      </w:pPr>
      <w:r>
        <w:rPr>
          <w:color w:val="000000"/>
          <w:spacing w:val="0"/>
          <w:w w:val="100"/>
          <w:shd w:fill="auto" w:val="clear"/>
          <w:lang w:val="en-US" w:eastAsia="en-US" w:bidi="en-US"/>
        </w:rPr>
        <w:t>Ein solcher Ansatz weist eine Reihe schwerwiegender Mängel auf. Erstens sind Entscheidungen, die nicht nur im Nachhinein falsch, sondern geradezu inkompetent sind, von demokratischen Mehrheiten getroffen worden, wobei das klassische Beispiel die katastrophale Invasion der Athener in Sizilien während des Pelopennesischen Krieges ist, obwohl „nur sehr wenige wussten, wo Sizilien lag und wie groß es war.“528 Solche Fehler wurden in den irrationalen Man-in-the-Crowd-Theorien von LeBon, Freud, Niebuhr und anderen herausgearbeitet.</w:t>
      </w:r>
    </w:p>
    <w:p>
      <w:pPr>
        <w:pStyle w:val="Flietext1"/>
        <w:keepNext w:val="false"/>
        <w:keepLines w:val="false"/>
        <w:widowControl w:val="false"/>
        <w:shd w:val="clear" w:color="auto" w:fill="auto"/>
        <w:bidi w:val="0"/>
        <w:spacing w:before="0" w:after="260"/>
        <w:ind w:left="0" w:right="0" w:firstLine="300"/>
        <w:jc w:val="both"/>
        <w:rPr/>
      </w:pPr>
      <w:r>
        <w:rPr>
          <w:color w:val="000000"/>
          <w:spacing w:val="0"/>
          <w:w w:val="100"/>
          <w:shd w:fill="auto" w:val="clear"/>
          <w:lang w:val="en-US" w:eastAsia="en-US" w:bidi="en-US"/>
        </w:rPr>
        <w:t>Zweitens wird der Slogan oft auf sich selbst zurückgedreht, wie von Burke und Sartori, um nicht die Mehrheitsherrschaft zu bedeuten, sondern ein Plädoyer für ein System „unzähliger interner Kontrollen“. Eine solche Formulierung applaudiert nicht der Weisheit der Mehrheit, sondern dem Wohlwollen der Geschichte und legt nahe, dass wir nichts tun sollten, wenn wir uns nicht sicher sind, was wir tun sollen, da die Gefahr von sic volo sic iubeo besteht, unabhängig davon, ob es sich bei dem volo um das einer Versammlung oder eines a handelt Tyrann, ist größer als die Gefahr der Untätigkeit; dies ist offensichtlich nicht immer wahr.</w:t>
      </w:r>
    </w:p>
    <w:p>
      <w:pPr>
        <w:pStyle w:val="Flietext21"/>
        <w:keepNext w:val="false"/>
        <w:keepLines w:val="false"/>
        <w:widowControl w:val="false"/>
        <w:numPr>
          <w:ilvl w:val="0"/>
          <w:numId w:val="46"/>
        </w:numPr>
        <w:shd w:val="clear" w:color="auto" w:fill="auto"/>
        <w:tabs>
          <w:tab w:val="clear" w:pos="720"/>
          <w:tab w:val="left" w:pos="639" w:leader="none"/>
        </w:tabs>
        <w:bidi w:val="0"/>
        <w:spacing w:lineRule="auto" w:line="240" w:before="0" w:after="0"/>
        <w:ind w:left="0" w:right="0" w:firstLine="240"/>
        <w:jc w:val="left"/>
        <w:rPr/>
      </w:pPr>
      <w:r>
        <w:rPr>
          <w:color w:val="000000"/>
          <w:spacing w:val="0"/>
          <w:w w:val="100"/>
          <w:shd w:fill="auto" w:val="clear"/>
          <w:lang w:val="en-US" w:eastAsia="en-US" w:bidi="en-US"/>
        </w:rPr>
        <w:t>Aristoteles, Politik, Bk. III, Kap. ii, Nr. 11</w:t>
      </w:r>
    </w:p>
    <w:p>
      <w:pPr>
        <w:pStyle w:val="Flietext21"/>
        <w:keepNext w:val="false"/>
        <w:keepLines w:val="false"/>
        <w:widowControl w:val="false"/>
        <w:numPr>
          <w:ilvl w:val="0"/>
          <w:numId w:val="46"/>
        </w:numPr>
        <w:shd w:val="clear" w:color="auto" w:fill="auto"/>
        <w:tabs>
          <w:tab w:val="clear" w:pos="720"/>
          <w:tab w:val="left" w:pos="639" w:leader="none"/>
        </w:tabs>
        <w:bidi w:val="0"/>
        <w:spacing w:lineRule="auto" w:line="208" w:before="0" w:after="0"/>
        <w:ind w:left="0" w:right="0" w:firstLine="240"/>
        <w:jc w:val="left"/>
        <w:rPr/>
      </w:pPr>
      <w:r>
        <w:rPr>
          <w:color w:val="000000"/>
          <w:spacing w:val="0"/>
          <w:w w:val="100"/>
          <w:shd w:fill="auto" w:val="clear"/>
          <w:lang w:val="en-US" w:eastAsia="en-US" w:bidi="en-US"/>
        </w:rPr>
        <w:t>Platon, Republik.</w:t>
      </w:r>
    </w:p>
    <w:p>
      <w:pPr>
        <w:pStyle w:val="Flietext21"/>
        <w:keepNext w:val="false"/>
        <w:keepLines w:val="false"/>
        <w:widowControl w:val="false"/>
        <w:numPr>
          <w:ilvl w:val="0"/>
          <w:numId w:val="46"/>
        </w:numPr>
        <w:shd w:val="clear" w:color="auto" w:fill="auto"/>
        <w:tabs>
          <w:tab w:val="clear" w:pos="720"/>
          <w:tab w:val="left" w:pos="639" w:leader="none"/>
        </w:tabs>
        <w:bidi w:val="0"/>
        <w:spacing w:lineRule="auto" w:line="240" w:before="0" w:after="200"/>
        <w:ind w:left="0" w:right="0" w:firstLine="240"/>
        <w:jc w:val="left"/>
        <w:rPr/>
      </w:pPr>
      <w:r>
        <w:rPr>
          <w:color w:val="000000"/>
          <w:spacing w:val="0"/>
          <w:w w:val="100"/>
          <w:shd w:fill="auto" w:val="clear"/>
          <w:lang w:val="en-US" w:eastAsia="en-US" w:bidi="en-US"/>
        </w:rPr>
        <w:t>HDF Kitto, The Greeks (Harmondsworth, England: Penguin Books, 1951), p. 130.</w:t>
      </w:r>
    </w:p>
    <w:p>
      <w:pPr>
        <w:pStyle w:val="Flietext1"/>
        <w:keepNext w:val="false"/>
        <w:keepLines w:val="false"/>
        <w:widowControl w:val="false"/>
        <w:shd w:val="clear" w:color="auto" w:fill="auto"/>
        <w:bidi w:val="0"/>
        <w:spacing w:lineRule="auto" w:line="259" w:before="0" w:after="260"/>
        <w:ind w:left="0" w:right="0" w:firstLine="300"/>
        <w:jc w:val="both"/>
        <w:rPr/>
      </w:pPr>
      <w:r>
        <w:rPr>
          <w:color w:val="000000"/>
          <w:spacing w:val="0"/>
          <w:w w:val="100"/>
          <w:shd w:fill="auto" w:val="clear"/>
          <w:lang w:val="en-US" w:eastAsia="en-US" w:bidi="en-US"/>
        </w:rPr>
        <w:t>Drittens und grundsätzlicher postuliert es einen externen Standard – „gute“ oder „weise“ Entscheidungen – der für sich selbst wünschenswert ist, und empfiehlt Mehrheitsentscheidungen nur als Mittel dazu. Da die Mehrheitsregel ein instrumentelles Gut und „weise“ Entscheidungen das intrinsische Gut ist, muss die Mehrheitsregel geopfert werden, wenn sie dieses Ziel nicht erreicht. Wenn die Rechtfertigung Unfehlbarkeit ist, ist der platonische Angriff – das Argument der Expertise – immer verheerend.</w:t>
      </w:r>
    </w:p>
    <w:p>
      <w:pPr>
        <w:pStyle w:val="Flietext1"/>
        <w:keepNext w:val="false"/>
        <w:keepLines w:val="false"/>
        <w:widowControl w:val="false"/>
        <w:numPr>
          <w:ilvl w:val="0"/>
          <w:numId w:val="45"/>
        </w:numPr>
        <w:shd w:val="clear" w:color="auto" w:fill="auto"/>
        <w:tabs>
          <w:tab w:val="clear" w:pos="720"/>
          <w:tab w:val="left" w:pos="380" w:leader="none"/>
        </w:tabs>
        <w:bidi w:val="0"/>
        <w:spacing w:before="0" w:after="120"/>
        <w:ind w:left="0" w:right="0" w:hanging="0"/>
        <w:jc w:val="left"/>
        <w:rPr/>
      </w:pPr>
      <w:r>
        <w:rPr>
          <w:color w:val="000000"/>
          <w:spacing w:val="0"/>
          <w:w w:val="100"/>
          <w:u w:val="single"/>
          <w:shd w:fill="auto" w:val="clear"/>
          <w:lang w:val="de-DE" w:eastAsia="de-DE" w:bidi="de-DE"/>
        </w:rPr>
        <w:t>Größte Kraft</w:t>
      </w:r>
    </w:p>
    <w:p>
      <w:pPr>
        <w:pStyle w:val="Flietext1"/>
        <w:keepNext w:val="false"/>
        <w:keepLines w:val="false"/>
        <w:widowControl w:val="false"/>
        <w:shd w:val="clear" w:color="auto" w:fill="auto"/>
        <w:bidi w:val="0"/>
        <w:spacing w:lineRule="auto" w:line="252" w:before="0" w:after="260"/>
        <w:ind w:left="0" w:right="0" w:firstLine="300"/>
        <w:jc w:val="both"/>
        <w:rPr/>
      </w:pPr>
      <w:r>
        <w:rPr>
          <w:color w:val="000000"/>
          <w:spacing w:val="0"/>
          <w:w w:val="100"/>
          <w:shd w:fill="auto" w:val="clear"/>
          <w:lang w:val="de-DE" w:eastAsia="de-DE" w:bidi="de-DE"/>
        </w:rPr>
        <w:t>Nur wenige Theorien des Majoritarismus haben die einfache Anziehungskraft oder anhaltende Kraft von John Lockes mechanistischer Sichtweise:</w:t>
      </w:r>
    </w:p>
    <w:p>
      <w:pPr>
        <w:pStyle w:val="Flietext1"/>
        <w:keepNext w:val="false"/>
        <w:keepLines w:val="false"/>
        <w:widowControl w:val="false"/>
        <w:shd w:val="clear" w:color="auto" w:fill="auto"/>
        <w:bidi w:val="0"/>
        <w:spacing w:before="0" w:after="260"/>
        <w:ind w:left="240" w:right="0" w:firstLine="380"/>
        <w:jc w:val="both"/>
        <w:rPr/>
      </w:pPr>
      <w:r>
        <w:rPr>
          <w:color w:val="000000"/>
          <w:spacing w:val="0"/>
          <w:w w:val="100"/>
          <w:shd w:fill="auto" w:val="clear"/>
          <w:vertAlign w:val="superscript"/>
          <w:lang w:val="de-DE" w:eastAsia="de-DE" w:bidi="de-DE"/>
        </w:rPr>
        <w:t>Denn das, was eine Gemeinschaft handelt, ist nur die Zustimmung der einzelnen Personen, und es ist notwendig, dass sich das, was ein Körper ist, in eine Richtung bewegt; es ist notwendig, dass sich die Körperschaft dahin bewegt, wohin die größte Kraft sie trägt, was die Zustimmung der Mehrheit ist; sonst ist es unmöglich, dass sie eine Körperschaft, eine Gemeinschaft handelt oder fortbesteht, die die Zustimmung jedes Einzelnen, der sich vereint, int , stimmte zu, dass es sollte; und so ist jeder an diese von der Mehrheit zu schließende Zustimmung gebunden.529</w:t>
      </w:r>
    </w:p>
    <w:p>
      <w:pPr>
        <w:pStyle w:val="Flietext1"/>
        <w:keepNext w:val="false"/>
        <w:keepLines w:val="false"/>
        <w:widowControl w:val="false"/>
        <w:shd w:val="clear" w:color="auto" w:fill="auto"/>
        <w:bidi w:val="0"/>
        <w:spacing w:before="0" w:after="0"/>
        <w:ind w:left="0" w:right="0" w:firstLine="300"/>
        <w:jc w:val="both"/>
        <w:rPr/>
      </w:pPr>
      <w:r>
        <w:rPr>
          <w:color w:val="000000"/>
          <w:spacing w:val="0"/>
          <w:w w:val="100"/>
          <w:shd w:fill="auto" w:val="clear"/>
          <w:lang w:val="en-US" w:eastAsia="en-US" w:bidi="en-US"/>
        </w:rPr>
        <w:t>Gegen diesen Ansatz lassen sich zwei Einwände erheben. Die erste stammt von Lipson (der glaubt, das Argument zu verteidigen) und stellt die Trennung der „größeren Macht“ von jeglicher Betrachtung der Moral fest; die Formulierung ist nichts anderes als „eine Bekräftigung der Gewaltpolitik, ungeschickt in einen ethischen Mantel getarnt“.</w:t>
      </w:r>
    </w:p>
    <w:p>
      <w:pPr>
        <w:pStyle w:val="Flietext1"/>
        <w:keepNext w:val="false"/>
        <w:keepLines w:val="false"/>
        <w:widowControl w:val="false"/>
        <w:shd w:val="clear" w:color="auto" w:fill="auto"/>
        <w:bidi w:val="0"/>
        <w:spacing w:before="0" w:after="240"/>
        <w:ind w:left="0" w:right="0" w:firstLine="300"/>
        <w:jc w:val="both"/>
        <w:rPr/>
      </w:pPr>
      <w:r>
        <w:rPr>
          <w:color w:val="000000"/>
          <w:spacing w:val="0"/>
          <w:w w:val="100"/>
          <w:shd w:fill="auto" w:val="clear"/>
          <w:lang w:val="en-US" w:eastAsia="en-US" w:bidi="en-US"/>
        </w:rPr>
        <w:t>Zweitens gibt es keinen offensichtlichen Grund, warum die „größte Kraft“ an die größte Zahl angepasst werden muss. Um es auf die gröbste Form zu bringen: Die Langlebigkeit des spartanischen Staates angesichts unaufhörlicher Helotenrevolten ist ein hinreichender Hinweis auf die Unzulänglichkeit einer solchen Assimilation. Die Behauptung liefert nicht nur keine moralische Lösung für das Problem, sondern bietet außer unter sehr spezifischen Umständen nicht einmal eine vernünftige Verteidigung des Majoritarismus.</w:t>
      </w:r>
    </w:p>
    <w:p>
      <w:pPr>
        <w:pStyle w:val="Flietext21"/>
        <w:keepNext w:val="false"/>
        <w:keepLines w:val="false"/>
        <w:widowControl w:val="false"/>
        <w:numPr>
          <w:ilvl w:val="0"/>
          <w:numId w:val="46"/>
        </w:numPr>
        <w:shd w:val="clear" w:color="auto" w:fill="auto"/>
        <w:tabs>
          <w:tab w:val="clear" w:pos="720"/>
          <w:tab w:val="left" w:pos="659" w:leader="none"/>
        </w:tabs>
        <w:bidi w:val="0"/>
        <w:spacing w:lineRule="auto" w:line="240" w:before="0" w:after="0"/>
        <w:ind w:left="0" w:right="0" w:firstLine="260"/>
        <w:jc w:val="left"/>
        <w:rPr/>
      </w:pPr>
      <w:r>
        <w:rPr>
          <w:color w:val="000000"/>
          <w:spacing w:val="0"/>
          <w:w w:val="100"/>
          <w:shd w:fill="auto" w:val="clear"/>
          <w:lang w:val="en-US" w:eastAsia="en-US" w:bidi="en-US"/>
        </w:rPr>
        <w:t>John Locke, Zweite Abhandlung, Sec. 96.</w:t>
      </w:r>
    </w:p>
    <w:p>
      <w:pPr>
        <w:pStyle w:val="Flietext21"/>
        <w:keepNext w:val="false"/>
        <w:keepLines w:val="false"/>
        <w:widowControl w:val="false"/>
        <w:numPr>
          <w:ilvl w:val="0"/>
          <w:numId w:val="46"/>
        </w:numPr>
        <w:shd w:val="clear" w:color="auto" w:fill="auto"/>
        <w:tabs>
          <w:tab w:val="clear" w:pos="720"/>
          <w:tab w:val="left" w:pos="659" w:leader="none"/>
        </w:tabs>
        <w:bidi w:val="0"/>
        <w:spacing w:lineRule="auto" w:line="220" w:before="0" w:after="240"/>
        <w:ind w:left="0" w:right="0" w:firstLine="260"/>
        <w:jc w:val="left"/>
        <w:rPr/>
      </w:pPr>
      <w:r>
        <w:rPr>
          <w:color w:val="000000"/>
          <w:spacing w:val="0"/>
          <w:w w:val="100"/>
          <w:shd w:fill="auto" w:val="clear"/>
          <w:lang w:val="en-US" w:eastAsia="en-US" w:bidi="en-US"/>
        </w:rPr>
        <w:t>Leslie Lipson, The Democratic Civilization (New York: Universität Oxford, 1964), p. 550.</w:t>
      </w:r>
    </w:p>
    <w:p>
      <w:pPr>
        <w:pStyle w:val="Flietext1"/>
        <w:keepNext w:val="false"/>
        <w:keepLines w:val="false"/>
        <w:widowControl w:val="false"/>
        <w:numPr>
          <w:ilvl w:val="0"/>
          <w:numId w:val="45"/>
        </w:numPr>
        <w:shd w:val="clear" w:color="auto" w:fill="auto"/>
        <w:tabs>
          <w:tab w:val="clear" w:pos="720"/>
          <w:tab w:val="left" w:pos="404" w:leader="none"/>
        </w:tabs>
        <w:bidi w:val="0"/>
        <w:spacing w:before="0" w:after="120"/>
        <w:ind w:left="0" w:right="0" w:hanging="0"/>
        <w:jc w:val="both"/>
        <w:rPr/>
      </w:pPr>
      <w:r>
        <w:rPr>
          <w:color w:val="000000"/>
          <w:spacing w:val="0"/>
          <w:w w:val="100"/>
          <w:u w:val="single"/>
          <w:shd w:fill="auto" w:val="clear"/>
          <w:lang w:val="en-US" w:eastAsia="en-US" w:bidi="en-US"/>
        </w:rPr>
        <w:t>Die Mehrheit und Mathematik</w:t>
      </w:r>
    </w:p>
    <w:p>
      <w:pPr>
        <w:pStyle w:val="Flietext1"/>
        <w:keepNext w:val="false"/>
        <w:keepLines w:val="false"/>
        <w:widowControl w:val="false"/>
        <w:shd w:val="clear" w:color="auto" w:fill="auto"/>
        <w:bidi w:val="0"/>
        <w:spacing w:before="0" w:after="0"/>
        <w:ind w:left="0" w:right="0" w:firstLine="300"/>
        <w:jc w:val="both"/>
        <w:rPr/>
      </w:pPr>
      <w:r>
        <w:rPr>
          <w:color w:val="000000"/>
          <w:spacing w:val="0"/>
          <w:w w:val="100"/>
          <w:shd w:fill="auto" w:val="clear"/>
          <w:lang w:val="en-US" w:eastAsia="en-US" w:bidi="en-US"/>
        </w:rPr>
        <w:t>Da „Mehrheit“ ein so offensichtlich mathematischer Begriff ist, ist es nicht verwunderlich, dass Versuche unternommen wurden, ihn allein aus diesen Gründen zu verteidigen. Marie Collins Swabey schlägt vor, dass „es in einer bestimmten Disziplin genauso viel Wissenschaft gibt, wie es Mathematik darin gibt“;531 Da es sich um eines der wenigen wirklich quantifizierbaren Phänomene handelt, mit denen sich die Politik auseinandersetzen muss, sollte sie „die ganze zweifelhafte Galazy of soziale Kräfte“532 und verfechten die Demokratie mit der Begründung, dass jede andere Grundlage für Politik ebenso mangelhaft und zum Untergang verurteilt sei wie die mittelalterliche Alchemie.533 Sie kommt zu dem Schluss, dass „was mehr ist, ipso facto ein größeres Gewicht hat als das, was sich davon nur dadurch unterscheidet, dass es weniger ist “,534, was sowieso trivial ist und nur deshalb als Antwort präsentiert werden kann, weil wir alles vergessen sollen, was wir nicht zählen können. Quantitative Analyse und auf die Regierung angewandte Wissenschaft sind Demokratie, und die größere Zahl bindet, weil sie größer ist.</w:t>
      </w:r>
    </w:p>
    <w:p>
      <w:pPr>
        <w:pStyle w:val="Flietext1"/>
        <w:keepNext w:val="false"/>
        <w:keepLines w:val="false"/>
        <w:widowControl w:val="false"/>
        <w:shd w:val="clear" w:color="auto" w:fill="auto"/>
        <w:bidi w:val="0"/>
        <w:spacing w:before="0" w:after="240"/>
        <w:ind w:left="0" w:right="0" w:firstLine="300"/>
        <w:jc w:val="both"/>
        <w:rPr/>
      </w:pPr>
      <w:r>
        <w:rPr>
          <w:color w:val="000000"/>
          <w:spacing w:val="0"/>
          <w:w w:val="100"/>
          <w:shd w:fill="auto" w:val="clear"/>
          <w:lang w:val="en-US" w:eastAsia="en-US" w:bidi="en-US"/>
        </w:rPr>
        <w:t>Aber eine Annahme explizit zu machen, rechtfertigt sie nicht. Empirisch kann man die Regel der meisten Maschinengewehre erklären und logisch die Regel der größten Zahl ableiten, aber in keinem Fall ist es gelungen, sie auf die wenigsten Maschinengewehre oder die kleinste Zahl zu begründen. Solche Berechnungen mögen eine Art Grund sein, warum die Minderheit nicht erwarten sollte, dass sich ihre Ansicht durchsetzt, aber sie können keine anderen Gründe als die grob vorsichtige Begründung dafür liefern, dem Mehrheitswillen zuzustimmen.</w:t>
      </w:r>
    </w:p>
    <w:p>
      <w:pPr>
        <w:pStyle w:val="Flietext21"/>
        <w:keepNext w:val="false"/>
        <w:keepLines w:val="false"/>
        <w:widowControl w:val="false"/>
        <w:numPr>
          <w:ilvl w:val="0"/>
          <w:numId w:val="46"/>
        </w:numPr>
        <w:shd w:val="clear" w:color="auto" w:fill="auto"/>
        <w:tabs>
          <w:tab w:val="clear" w:pos="720"/>
          <w:tab w:val="left" w:pos="657" w:leader="none"/>
        </w:tabs>
        <w:bidi w:val="0"/>
        <w:spacing w:lineRule="auto" w:line="240" w:before="0" w:after="0"/>
        <w:ind w:left="0" w:right="0" w:firstLine="260"/>
        <w:jc w:val="left"/>
        <w:rPr/>
      </w:pPr>
      <w:r>
        <w:rPr>
          <w:color w:val="000000"/>
          <w:spacing w:val="0"/>
          <w:w w:val="100"/>
          <w:shd w:fill="auto" w:val="clear"/>
          <w:lang w:val="en-US" w:eastAsia="en-US" w:bidi="en-US"/>
        </w:rPr>
        <w:t>Swabey, Theorie des demokratischen Staates, S. 17.</w:t>
      </w:r>
    </w:p>
    <w:p>
      <w:pPr>
        <w:pStyle w:val="Flietext21"/>
        <w:keepNext w:val="false"/>
        <w:keepLines w:val="false"/>
        <w:widowControl w:val="false"/>
        <w:numPr>
          <w:ilvl w:val="0"/>
          <w:numId w:val="46"/>
        </w:numPr>
        <w:shd w:val="clear" w:color="auto" w:fill="auto"/>
        <w:tabs>
          <w:tab w:val="clear" w:pos="720"/>
          <w:tab w:val="left" w:pos="667" w:leader="none"/>
        </w:tabs>
        <w:bidi w:val="0"/>
        <w:spacing w:lineRule="auto" w:line="213" w:before="0" w:after="0"/>
        <w:ind w:left="0" w:right="0" w:firstLine="260"/>
        <w:jc w:val="left"/>
        <w:rPr/>
      </w:pPr>
      <w:r>
        <w:rPr>
          <w:color w:val="000000"/>
          <w:spacing w:val="0"/>
          <w:w w:val="100"/>
          <w:shd w:fill="auto" w:val="clear"/>
          <w:lang w:val="en-US" w:eastAsia="en-US" w:bidi="en-US"/>
        </w:rPr>
        <w:t>Ebd., p. 104.</w:t>
      </w:r>
    </w:p>
    <w:p>
      <w:pPr>
        <w:pStyle w:val="Flietext21"/>
        <w:keepNext w:val="false"/>
        <w:keepLines w:val="false"/>
        <w:widowControl w:val="false"/>
        <w:numPr>
          <w:ilvl w:val="0"/>
          <w:numId w:val="46"/>
        </w:numPr>
        <w:shd w:val="clear" w:color="auto" w:fill="auto"/>
        <w:tabs>
          <w:tab w:val="clear" w:pos="720"/>
          <w:tab w:val="left" w:pos="667" w:leader="none"/>
        </w:tabs>
        <w:bidi w:val="0"/>
        <w:spacing w:lineRule="auto" w:line="220" w:before="0" w:after="0"/>
        <w:ind w:left="0" w:right="0" w:firstLine="260"/>
        <w:jc w:val="left"/>
        <w:rPr/>
      </w:pPr>
      <w:r>
        <w:rPr>
          <w:color w:val="000000"/>
          <w:spacing w:val="0"/>
          <w:w w:val="100"/>
          <w:shd w:fill="auto" w:val="clear"/>
          <w:lang w:val="en-US" w:eastAsia="en-US" w:bidi="en-US"/>
        </w:rPr>
        <w:t>Ebd., p. 17.</w:t>
      </w:r>
    </w:p>
    <w:p>
      <w:pPr>
        <w:pStyle w:val="Flietext21"/>
        <w:keepNext w:val="false"/>
        <w:keepLines w:val="false"/>
        <w:widowControl w:val="false"/>
        <w:numPr>
          <w:ilvl w:val="0"/>
          <w:numId w:val="46"/>
        </w:numPr>
        <w:shd w:val="clear" w:color="auto" w:fill="auto"/>
        <w:tabs>
          <w:tab w:val="clear" w:pos="720"/>
          <w:tab w:val="left" w:pos="667" w:leader="none"/>
        </w:tabs>
        <w:bidi w:val="0"/>
        <w:spacing w:before="0" w:after="240"/>
        <w:ind w:left="0" w:right="0" w:firstLine="260"/>
        <w:jc w:val="left"/>
        <w:rPr/>
      </w:pPr>
      <w:r>
        <w:rPr>
          <w:color w:val="000000"/>
          <w:spacing w:val="0"/>
          <w:w w:val="100"/>
          <w:shd w:fill="auto" w:val="clear"/>
          <w:lang w:val="en-US" w:eastAsia="en-US" w:bidi="en-US"/>
        </w:rPr>
        <w:t>Ebd., p. 20.</w:t>
      </w:r>
    </w:p>
    <w:p>
      <w:pPr>
        <w:pStyle w:val="Flietext1"/>
        <w:keepNext w:val="false"/>
        <w:keepLines w:val="false"/>
        <w:widowControl w:val="false"/>
        <w:numPr>
          <w:ilvl w:val="0"/>
          <w:numId w:val="45"/>
        </w:numPr>
        <w:shd w:val="clear" w:color="auto" w:fill="auto"/>
        <w:tabs>
          <w:tab w:val="clear" w:pos="720"/>
          <w:tab w:val="left" w:pos="388" w:leader="none"/>
        </w:tabs>
        <w:bidi w:val="0"/>
        <w:spacing w:before="0" w:after="120"/>
        <w:ind w:left="0" w:right="0" w:hanging="0"/>
        <w:jc w:val="left"/>
        <w:rPr/>
      </w:pPr>
      <w:r>
        <w:rPr>
          <w:color w:val="000000"/>
          <w:spacing w:val="0"/>
          <w:w w:val="100"/>
          <w:u w:val="single"/>
          <w:shd w:fill="auto" w:val="clear"/>
          <w:lang w:val="en-US" w:eastAsia="en-US" w:bidi="en-US"/>
        </w:rPr>
        <w:t>Die meisten Zustimmungen</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vertAlign w:val="superscript"/>
          <w:lang w:val="en-US" w:eastAsia="en-US" w:bidi="en-US"/>
        </w:rPr>
        <w:t>Willmoore Kendall schreibt Locke ein weiteres rein formales Argument zur Rechtfertigung der Mehrheitsregel zu, das wie folgt lautet: rechtmäßige Regierung beruht auf Zustimmung, und rechtmäßige Regierungshandlungen basieren daher auf der Zustimmung der betroffenen Bürger. Eine von einer Mehrheit gebilligte Handlung ist folglich eher eine rechtmäßige Handlung als eine von einer Minderheit unterstützte, weil sie „mehr Zustimmungen“ hat.535</w:t>
      </w:r>
    </w:p>
    <w:p>
      <w:pPr>
        <w:pStyle w:val="Flietext1"/>
        <w:keepNext w:val="false"/>
        <w:keepLines w:val="false"/>
        <w:widowControl w:val="false"/>
        <w:shd w:val="clear" w:color="auto" w:fill="auto"/>
        <w:bidi w:val="0"/>
        <w:spacing w:before="0" w:after="280"/>
        <w:ind w:left="0" w:right="0" w:firstLine="280"/>
        <w:jc w:val="both"/>
        <w:rPr/>
      </w:pPr>
      <w:r>
        <w:rPr>
          <w:color w:val="000000"/>
          <w:spacing w:val="0"/>
          <w:w w:val="100"/>
          <w:shd w:fill="auto" w:val="clear"/>
          <w:lang w:val="en-US" w:eastAsia="en-US" w:bidi="en-US"/>
        </w:rPr>
        <w:t>Die Rechtfertigung der Anpassung der Regierung an den Willen der Mehrheit ist jedoch nicht dasselbe wie die Rechtfertigung der Verpflichtung der abweichenden Minderheit gegenüber diesem Mehrheitswillen. Aus der Tatsache, dass es richtig ist, dass die Regierung im Einklang mit dem Willen der Mehrheit handelt, folgt nicht, dass es falsch ist, wenn die Minderheit nicht gehorcht. Es wäre falsch, wenn die Minderheit darauf bestehen würde, dass ihre politische Präferenz der Mehrheit vorgezogen wird, aber wenn der Anspruch nicht auf Vorherrschaft, sondern auf Befreiung gerichtet ist, dann kann das Element der moralischen Verpflichtung, das sich aus der Frage der Mehrheit ergibt, nicht nachgewiesen werden. Das Grundproblem besteht: Wenn die Verpflichtung auf Zustimmung beruht, ist nur derjenige verpflichtet, der zustimmt.</w:t>
      </w:r>
    </w:p>
    <w:p>
      <w:pPr>
        <w:pStyle w:val="Flietext1"/>
        <w:keepNext w:val="false"/>
        <w:keepLines w:val="false"/>
        <w:widowControl w:val="false"/>
        <w:numPr>
          <w:ilvl w:val="0"/>
          <w:numId w:val="45"/>
        </w:numPr>
        <w:shd w:val="clear" w:color="auto" w:fill="auto"/>
        <w:tabs>
          <w:tab w:val="clear" w:pos="720"/>
          <w:tab w:val="left" w:pos="388" w:leader="none"/>
        </w:tabs>
        <w:bidi w:val="0"/>
        <w:spacing w:before="0" w:after="120"/>
        <w:ind w:left="0" w:right="0" w:hanging="0"/>
        <w:jc w:val="left"/>
        <w:rPr/>
      </w:pPr>
      <w:r>
        <w:rPr>
          <w:color w:val="000000"/>
          <w:spacing w:val="0"/>
          <w:w w:val="100"/>
          <w:u w:val="single"/>
          <w:shd w:fill="auto" w:val="clear"/>
          <w:lang w:val="en-US" w:eastAsia="en-US" w:bidi="en-US"/>
        </w:rPr>
        <w:t>Die Sackgasse umgehen: Calhoun</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Calhouns Concurrent-Majorities-Theorie536 verlangt, kurz gesagt, dass vor jeder Regierungsaktion die Zustimmung aller bedeutenden Gruppen oder Interessen in der Nation eingeholt werden muss, und dass jede dieser Gruppen oder Interessen ein Vetorecht hat. Daraus folgt, dass für Regierungshandeln praktisch Einstimmigkeit (zumindest wesentlicher Interessen) erforderlich ist, und daher gibt es, wann immer eine Regierung handelt, keine Minderheit, die zu widerwilliger Zustimmung gezwungen oder überredet werden muss.</w:t>
      </w:r>
    </w:p>
    <w:p>
      <w:pPr>
        <w:pStyle w:val="Flietext1"/>
        <w:keepNext w:val="false"/>
        <w:keepLines w:val="false"/>
        <w:widowControl w:val="false"/>
        <w:shd w:val="clear" w:color="auto" w:fill="auto"/>
        <w:bidi w:val="0"/>
        <w:spacing w:before="0" w:after="280"/>
        <w:ind w:left="0" w:right="0" w:firstLine="280"/>
        <w:jc w:val="both"/>
        <w:rPr/>
      </w:pPr>
      <w:r>
        <w:rPr>
          <w:color w:val="000000"/>
          <w:spacing w:val="0"/>
          <w:w w:val="100"/>
          <w:shd w:fill="auto" w:val="clear"/>
          <w:lang w:val="en-US" w:eastAsia="en-US" w:bidi="en-US"/>
        </w:rPr>
        <w:t>Die implizite Annahme ist, dass jede Gruppe vor jeder Entscheidung bei null beginnt, obwohl sie tatsächlich von einem Status quo ausgeht. Vorschläge für Regierungsmaßnahmen sind Vorschläge zur Änderung des Status quo, und die Problematik von Calhouns Argument kann durch eine leichte Modifikation seiner Formulierung demonstriert werden. Jedes Mal, wenn es einen Vorschlag für eine Änderung des Status quo gibt, können wir den Vorschlag so darstellen: dass der Status quo nicht geändert wird. Bei dieser Präsentation entscheidet immer eine einzige Ja-Stimme, und die anderen müssen immer zustimmen; Weit davon entfernt, das Problem der Minderheit zu lösen oder zu umgehen, erweitert das Modell es.</w:t>
      </w:r>
    </w:p>
    <w:p>
      <w:pPr>
        <w:pStyle w:val="Flietext21"/>
        <w:keepNext w:val="false"/>
        <w:keepLines w:val="false"/>
        <w:widowControl w:val="false"/>
        <w:numPr>
          <w:ilvl w:val="0"/>
          <w:numId w:val="46"/>
        </w:numPr>
        <w:shd w:val="clear" w:color="auto" w:fill="auto"/>
        <w:tabs>
          <w:tab w:val="clear" w:pos="720"/>
          <w:tab w:val="left" w:pos="659" w:leader="none"/>
        </w:tabs>
        <w:bidi w:val="0"/>
        <w:spacing w:lineRule="auto" w:line="189" w:before="0" w:after="0"/>
        <w:ind w:left="0" w:right="0" w:firstLine="260"/>
        <w:jc w:val="left"/>
        <w:rPr/>
      </w:pPr>
      <w:r>
        <w:rPr>
          <w:i/>
          <w:iCs/>
          <w:color w:val="000000"/>
          <w:spacing w:val="0"/>
          <w:w w:val="100"/>
          <w:shd w:fill="auto" w:val="clear"/>
          <w:lang w:val="en-US" w:eastAsia="en-US" w:bidi="en-US"/>
        </w:rPr>
        <w:t>Kendall, John Locke und die Doctrine of Majority Rule.</w:t>
      </w:r>
    </w:p>
    <w:p>
      <w:pPr>
        <w:pStyle w:val="Flietext21"/>
        <w:keepNext w:val="false"/>
        <w:keepLines w:val="false"/>
        <w:widowControl w:val="false"/>
        <w:numPr>
          <w:ilvl w:val="0"/>
          <w:numId w:val="46"/>
        </w:numPr>
        <w:shd w:val="clear" w:color="auto" w:fill="auto"/>
        <w:tabs>
          <w:tab w:val="clear" w:pos="720"/>
          <w:tab w:val="left" w:pos="659" w:leader="none"/>
        </w:tabs>
        <w:bidi w:val="0"/>
        <w:spacing w:lineRule="auto" w:line="189" w:before="0" w:after="220"/>
        <w:ind w:left="0" w:right="0" w:firstLine="260"/>
        <w:jc w:val="left"/>
        <w:rPr/>
      </w:pPr>
      <w:r>
        <w:rPr>
          <w:i/>
          <w:iCs/>
          <w:color w:val="000000"/>
          <w:spacing w:val="0"/>
          <w:w w:val="100"/>
          <w:shd w:fill="auto" w:val="clear"/>
          <w:lang w:val="en-US" w:eastAsia="en-US" w:bidi="en-US"/>
        </w:rPr>
        <w:t>Calhoun, Disquisition über die Regierung.</w:t>
      </w:r>
    </w:p>
    <w:p>
      <w:pPr>
        <w:pStyle w:val="Flietext1"/>
        <w:keepNext w:val="false"/>
        <w:keepLines w:val="false"/>
        <w:widowControl w:val="false"/>
        <w:numPr>
          <w:ilvl w:val="0"/>
          <w:numId w:val="45"/>
        </w:numPr>
        <w:shd w:val="clear" w:color="auto" w:fill="auto"/>
        <w:tabs>
          <w:tab w:val="clear" w:pos="720"/>
          <w:tab w:val="left" w:pos="399" w:leader="none"/>
        </w:tabs>
        <w:bidi w:val="0"/>
        <w:spacing w:before="0" w:after="120"/>
        <w:ind w:left="0" w:right="0" w:hanging="0"/>
        <w:jc w:val="left"/>
        <w:rPr/>
      </w:pPr>
      <w:r>
        <w:rPr>
          <w:color w:val="000000"/>
          <w:spacing w:val="0"/>
          <w:w w:val="100"/>
          <w:u w:val="single"/>
          <w:shd w:fill="auto" w:val="clear"/>
          <w:lang w:val="en-US" w:eastAsia="en-US" w:bidi="en-US"/>
        </w:rPr>
        <w:t>Argument aus dem Scheitern von Alternativen</w:t>
      </w:r>
    </w:p>
    <w:p>
      <w:pPr>
        <w:pStyle w:val="Flietext1"/>
        <w:keepNext w:val="false"/>
        <w:keepLines w:val="false"/>
        <w:widowControl w:val="false"/>
        <w:shd w:val="clear" w:color="auto" w:fill="auto"/>
        <w:bidi w:val="0"/>
        <w:spacing w:before="0" w:after="280"/>
        <w:ind w:left="0" w:right="0" w:firstLine="300"/>
        <w:jc w:val="both"/>
        <w:rPr/>
      </w:pPr>
      <w:r>
        <w:rPr>
          <w:color w:val="000000"/>
          <w:spacing w:val="0"/>
          <w:w w:val="100"/>
          <w:shd w:fill="auto" w:val="clear"/>
          <w:lang w:val="en-US" w:eastAsia="en-US" w:bidi="en-US"/>
        </w:rPr>
        <w:t>Viele der Argumente in Bezug auf die Mehrheitspflicht haben einen starken Faute-de-mieux-Geschmack. Churchill soll gesagt haben, dass die Demokratie die schlechtestmögliche Regierungsform ist, abgesehen von jeder anderen, die versucht wurde,568 und hundert Jahre zuvor sprach ein anderer Staatsmann, Abraham Lincoln, ähnlich:</w:t>
      </w:r>
    </w:p>
    <w:p>
      <w:pPr>
        <w:pStyle w:val="Flietext1"/>
        <w:keepNext w:val="false"/>
        <w:keepLines w:val="false"/>
        <w:widowControl w:val="false"/>
        <w:shd w:val="clear" w:color="auto" w:fill="auto"/>
        <w:bidi w:val="0"/>
        <w:spacing w:before="0" w:after="280"/>
        <w:ind w:left="260" w:right="0" w:firstLine="360"/>
        <w:jc w:val="both"/>
        <w:rPr/>
      </w:pPr>
      <w:r>
        <w:rPr>
          <w:color w:val="000000"/>
          <w:spacing w:val="0"/>
          <w:w w:val="100"/>
          <w:shd w:fill="auto" w:val="clear"/>
          <w:vertAlign w:val="superscript"/>
          <w:lang w:val="en-US" w:eastAsia="en-US" w:bidi="en-US"/>
        </w:rPr>
        <w:t>Einstimmigkeit ist unmöglich; die Herrschaft einer Minderheit als dauerhafte Einrichtung ist völlig unzulässig; so dass die Ablehnung des Mehrheitsprinzips, Anarchie oder Willkür übrig bleiben.568</w:t>
      </w:r>
    </w:p>
    <w:p>
      <w:pPr>
        <w:pStyle w:val="Flietext1"/>
        <w:keepNext w:val="false"/>
        <w:keepLines w:val="false"/>
        <w:widowControl w:val="false"/>
        <w:shd w:val="clear" w:color="auto" w:fill="auto"/>
        <w:bidi w:val="0"/>
        <w:spacing w:before="0" w:after="0"/>
        <w:ind w:left="0" w:right="0" w:hanging="0"/>
        <w:jc w:val="both"/>
        <w:rPr/>
      </w:pPr>
      <w:r>
        <w:rPr>
          <w:color w:val="000000"/>
          <w:spacing w:val="0"/>
          <w:w w:val="100"/>
          <w:shd w:fill="auto" w:val="clear"/>
          <w:lang w:val="en-US" w:eastAsia="en-US" w:bidi="en-US"/>
        </w:rPr>
        <w:t>In ähnlicher Weise argumentiert Mayo, dass „ein Teil der Verteidigung der Demokratie immer auf den Mängeln von Alternativen beruhen wird“568, und Yarros betitelt einen Artikel unverblümt „Demokratie von was?“569 Angriffe und Kritik an der Demokratietheorie lösen die gleiche Art von Halbantworten aus wie Kritik der Vereinten Nationen – was gibt es sonst noch?</w:t>
      </w:r>
    </w:p>
    <w:p>
      <w:pPr>
        <w:pStyle w:val="Flietext1"/>
        <w:keepNext w:val="false"/>
        <w:keepLines w:val="false"/>
        <w:widowControl w:val="false"/>
        <w:shd w:val="clear" w:color="auto" w:fill="auto"/>
        <w:bidi w:val="0"/>
        <w:spacing w:before="0" w:after="260"/>
        <w:ind w:left="0" w:right="0" w:firstLine="300"/>
        <w:jc w:val="both"/>
        <w:rPr/>
      </w:pPr>
      <w:r>
        <w:rPr>
          <w:color w:val="000000"/>
          <w:spacing w:val="0"/>
          <w:w w:val="100"/>
          <w:shd w:fill="auto" w:val="clear"/>
          <w:lang w:val="en-US" w:eastAsia="en-US" w:bidi="en-US"/>
        </w:rPr>
        <w:t>Vorbehalte gegenüber der Akzeptanz dieses Ansatzes beruhen auf etwas Festerem als Riesmans Bemerkung, dass „(i) es für Menschen schwer ist, Zufriedenheit in einer Gesellschaft zu finden, deren beste Verteidigung darin besteht, dass sie ein geringeres Übel ist als irgendeine andere Gesellschaftsform.“541 To the eine Minderheit nach einem endgültigen Grund verlangt, warum sie den Mehrheitswillen akzeptieren muss, lautet die Antwort lediglich, dass es keine andere Lösung gibt, wirft die Frage auf, ob es überhaupt eine endgültige Lösung gibt, und bietet eine vorsichtige Antwort auf eine nicht-aufsichtsrechtliche Frage.</w:t>
      </w:r>
    </w:p>
    <w:p>
      <w:pPr>
        <w:pStyle w:val="Flietext21"/>
        <w:keepNext w:val="false"/>
        <w:keepLines w:val="false"/>
        <w:widowControl w:val="false"/>
        <w:numPr>
          <w:ilvl w:val="0"/>
          <w:numId w:val="47"/>
        </w:numPr>
        <w:shd w:val="clear" w:color="auto" w:fill="auto"/>
        <w:tabs>
          <w:tab w:val="clear" w:pos="720"/>
          <w:tab w:val="left" w:pos="625" w:leader="none"/>
        </w:tabs>
        <w:bidi w:val="0"/>
        <w:spacing w:lineRule="auto" w:line="213" w:before="0" w:after="200"/>
        <w:ind w:left="0" w:right="0" w:firstLine="300"/>
        <w:jc w:val="both"/>
        <w:rPr/>
      </w:pPr>
      <w:r>
        <w:rPr>
          <w:color w:val="000000"/>
          <w:spacing w:val="0"/>
          <w:w w:val="100"/>
          <w:shd w:fill="auto" w:val="clear"/>
          <w:lang w:val="en-US" w:eastAsia="en-US" w:bidi="en-US"/>
        </w:rPr>
        <w:t>Victor S. Yarros, „Demokratie von was? Recent Assaults on, and Vindications of, Modern Popular Government“, in The International Journal of Ethics, Bd. XXXII, Nr. 4 (Juli 1923).</w:t>
      </w:r>
    </w:p>
    <w:p>
      <w:pPr>
        <w:pStyle w:val="Flietext1"/>
        <w:keepNext w:val="false"/>
        <w:keepLines w:val="false"/>
        <w:widowControl w:val="false"/>
        <w:shd w:val="clear" w:color="auto" w:fill="auto"/>
        <w:bidi w:val="0"/>
        <w:spacing w:before="0" w:after="0"/>
        <w:ind w:left="0" w:right="0" w:firstLine="300"/>
        <w:jc w:val="both"/>
        <w:rPr/>
      </w:pPr>
      <w:r>
        <w:rPr>
          <w:color w:val="000000"/>
          <w:spacing w:val="0"/>
          <w:w w:val="100"/>
          <w:shd w:fill="auto" w:val="clear"/>
          <w:lang w:val="en-US" w:eastAsia="en-US" w:bidi="en-US"/>
        </w:rPr>
        <w:t>Die grundlegende Sackgasse der Theorie des demokratischen Konsens ist, dass Andersdenkende nicht verpflichtet sind, wenn der Konsens verpflichtet. Eine Reihe von Lösungsvorschlägen zu diesem Problem wurden geprüft; wo solche nicht von Natur aus fehlerhaft sind, scheinen sie auf eine andere Frage gerichtet zu sein. Die Frage, die die Sackgasse erzeugt, ist die Notwendigkeit, die Verpflichtung der abweichenden Minderheit nachzuweisen; Die Frage, die beantwortet wird, ist die Notwendigkeit eines optimalen Entscheidungsprozesses. Es wird nirgendwo gesagt, sondern implizit angenommen, dass die beiden Fragen gleich sind; Obwohl es die Sache vereinfachen würde, wenn dies der Fall wäre, ist Wunschdenken keine Philosophie. Wenn die Konsenstheorie durch die demokratische Konsenstheorie erschöpft ist, kann sie das Problem der politischen Verpflichtung nicht lösen.</w:t>
      </w:r>
    </w:p>
    <w:p>
      <w:pPr>
        <w:pStyle w:val="Flietext1"/>
        <w:keepNext w:val="false"/>
        <w:keepLines w:val="false"/>
        <w:widowControl w:val="false"/>
        <w:shd w:val="clear" w:color="auto" w:fill="auto"/>
        <w:bidi w:val="0"/>
        <w:spacing w:before="0" w:after="300"/>
        <w:ind w:left="0" w:right="0" w:firstLine="300"/>
        <w:jc w:val="both"/>
        <w:rPr/>
      </w:pPr>
      <w:r>
        <w:rPr>
          <w:color w:val="000000"/>
          <w:spacing w:val="0"/>
          <w:w w:val="100"/>
          <w:shd w:fill="auto" w:val="clear"/>
          <w:vertAlign w:val="superscript"/>
          <w:lang w:val="en-US" w:eastAsia="en-US" w:bidi="en-US"/>
        </w:rPr>
        <w:t>Die Sackgasse wird in Wolffs In Defense of Anarchism aufs kompromissloseste ausgedrückt. Das Problem besteht darin, dass Mehrheit und Minderheit (mindestens) zwei unterschiedliche Urteile darüber abgeben, was die moralische Handlung ist, wenn es um eine moralische Streitfrage geht. Für einen Einzelnen ist es moralisch unzulässig, sein Urteil aufzugeben; es heißt, die Autonomie seines Willens zugunsten der Heteronomie des Willens aufzugeben, und das kann im Kantischen Sinne niemals eine moralische Entscheidung sein. Während die Demokratie für kleinere Angelegenheiten funktionieren mag, muss sie in allen wichtigen Angelegenheiten – das heißt, allen, die moralische Pflichten betreffen – die (kantische) Ethik entweder brechen oder verletzen. Daraus zieht Wolff einen ebenso extremen Schluss: Keine Autorität kann legitim sein, und nur die Anarchie kann der kantischen Forderung nach der Autonomie des Willens genügen.542</w:t>
      </w:r>
    </w:p>
    <w:p>
      <w:pPr>
        <w:pStyle w:val="Flietext21"/>
        <w:keepNext w:val="false"/>
        <w:keepLines w:val="false"/>
        <w:widowControl w:val="false"/>
        <w:numPr>
          <w:ilvl w:val="0"/>
          <w:numId w:val="47"/>
        </w:numPr>
        <w:shd w:val="clear" w:color="auto" w:fill="auto"/>
        <w:tabs>
          <w:tab w:val="clear" w:pos="720"/>
          <w:tab w:val="left" w:pos="639" w:leader="none"/>
        </w:tabs>
        <w:bidi w:val="0"/>
        <w:spacing w:lineRule="auto" w:line="189" w:before="0" w:after="0"/>
        <w:ind w:left="0" w:right="0" w:firstLine="240"/>
        <w:jc w:val="left"/>
        <w:rPr/>
      </w:pPr>
      <w:r>
        <w:rPr>
          <w:color w:val="000000"/>
          <w:spacing w:val="0"/>
          <w:w w:val="100"/>
          <w:shd w:fill="auto" w:val="clear"/>
          <w:lang w:val="en-US" w:eastAsia="en-US" w:bidi="en-US"/>
        </w:rPr>
        <w:t>Riesman, Individualism Reconsidered (New York: Free Press, 1954), p. 28.</w:t>
      </w:r>
    </w:p>
    <w:p>
      <w:pPr>
        <w:pStyle w:val="Flietext21"/>
        <w:keepNext w:val="false"/>
        <w:keepLines w:val="false"/>
        <w:widowControl w:val="false"/>
        <w:numPr>
          <w:ilvl w:val="0"/>
          <w:numId w:val="47"/>
        </w:numPr>
        <w:shd w:val="clear" w:color="auto" w:fill="auto"/>
        <w:tabs>
          <w:tab w:val="clear" w:pos="720"/>
          <w:tab w:val="left" w:pos="639" w:leader="none"/>
        </w:tabs>
        <w:bidi w:val="0"/>
        <w:spacing w:lineRule="auto" w:line="189" w:before="0" w:after="200"/>
        <w:ind w:left="0" w:right="0" w:firstLine="240"/>
        <w:jc w:val="both"/>
        <w:rPr/>
      </w:pPr>
      <w:r>
        <w:rPr>
          <w:color w:val="000000"/>
          <w:spacing w:val="0"/>
          <w:w w:val="100"/>
          <w:shd w:fill="auto" w:val="clear"/>
          <w:lang w:val="en-US" w:eastAsia="en-US" w:bidi="en-US"/>
        </w:rPr>
        <w:t>Robert Paul Wolff, Zur Verteidigung des Anarchismus (New York: Harper &amp; Row, 1970), Kap. 1.</w:t>
      </w:r>
    </w:p>
    <w:p>
      <w:pPr>
        <w:pStyle w:val="Flietext1"/>
        <w:keepNext w:val="false"/>
        <w:keepLines w:val="false"/>
        <w:widowControl w:val="false"/>
        <w:shd w:val="clear" w:color="auto" w:fill="auto"/>
        <w:bidi w:val="0"/>
        <w:spacing w:lineRule="auto" w:line="259" w:before="0" w:after="300"/>
        <w:ind w:left="0" w:right="0" w:firstLine="300"/>
        <w:jc w:val="both"/>
        <w:rPr/>
      </w:pPr>
      <w:r>
        <w:rPr>
          <w:color w:val="000000"/>
          <w:spacing w:val="0"/>
          <w:w w:val="100"/>
          <w:shd w:fill="auto" w:val="clear"/>
          <w:lang w:val="en-US" w:eastAsia="en-US" w:bidi="en-US"/>
        </w:rPr>
        <w:t>Als Zusammenfassung der Sackgasse der Demokratie ist das Argument ausgezeichnet; die anklage gegen die Democratic Consent Theory wird konkretisiert, bevor ein möglicher ausweg aus der Sackgasse skizziert wird.</w:t>
      </w:r>
    </w:p>
    <w:p>
      <w:pPr>
        <w:pStyle w:val="Flietext1"/>
        <w:keepNext w:val="false"/>
        <w:keepLines w:val="false"/>
        <w:widowControl w:val="false"/>
        <w:shd w:val="clear" w:color="auto" w:fill="auto"/>
        <w:bidi w:val="0"/>
        <w:spacing w:before="0" w:after="140"/>
        <w:ind w:left="0" w:right="0" w:hanging="0"/>
        <w:jc w:val="left"/>
        <w:rPr/>
      </w:pPr>
      <w:r>
        <w:rPr>
          <w:color w:val="000000"/>
          <w:spacing w:val="0"/>
          <w:w w:val="100"/>
          <w:u w:val="single"/>
          <w:shd w:fill="auto" w:val="clear"/>
          <w:lang w:val="en-US" w:eastAsia="en-US" w:bidi="en-US"/>
        </w:rPr>
        <w:t>Abschluss</w:t>
      </w:r>
    </w:p>
    <w:p>
      <w:pPr>
        <w:pStyle w:val="Flietext1"/>
        <w:keepNext w:val="false"/>
        <w:keepLines w:val="false"/>
        <w:widowControl w:val="false"/>
        <w:shd w:val="clear" w:color="auto" w:fill="auto"/>
        <w:bidi w:val="0"/>
        <w:spacing w:before="0" w:after="240"/>
        <w:ind w:left="0" w:right="0" w:firstLine="300"/>
        <w:jc w:val="both"/>
        <w:rPr/>
      </w:pPr>
      <w:r>
        <w:rPr>
          <w:color w:val="000000"/>
          <w:spacing w:val="0"/>
          <w:w w:val="100"/>
          <w:shd w:fill="auto" w:val="clear"/>
          <w:lang w:val="en-US" w:eastAsia="en-US" w:bidi="en-US"/>
        </w:rPr>
        <w:t>Im Hinblick auf die Erfüllung der Anforderungen einer Theorie der politischen Verpflichtung leidet die Theorie des demokratischen Konsenses an einer Reihe kritischer und nicht behebbarer Mängel. Allein die Nachteile sind signifikant; gemeinsam sind sie lähmend.</w:t>
      </w:r>
    </w:p>
    <w:p>
      <w:pPr>
        <w:pStyle w:val="Flietext1"/>
        <w:keepNext w:val="false"/>
        <w:keepLines w:val="false"/>
        <w:widowControl w:val="false"/>
        <w:shd w:val="clear" w:color="auto" w:fill="auto"/>
        <w:bidi w:val="0"/>
        <w:spacing w:before="0" w:after="0"/>
        <w:ind w:left="0" w:right="0" w:firstLine="320"/>
        <w:jc w:val="both"/>
        <w:rPr>
          <w:sz w:val="22"/>
          <w:szCs w:val="22"/>
        </w:rPr>
      </w:pPr>
      <w:r>
        <w:rPr>
          <w:rStyle w:val="Flietext2"/>
          <w:sz w:val="22"/>
          <w:szCs w:val="22"/>
        </w:rPr>
        <w:t>Erstens gibt es in der Theorie des demokratischen Konsenses ein irreduzibles Element der Kontingenz. Betrachten Sie zunächst die Version der Demokratie mit starkem Konsens. Eine Schlussfolgerung, die die Verpflichtung eines teilnehmenden Bürgers geltend macht, eine Regierungspolitik zu akzeptieren, basiert auf dem Nachweis, dass die Entscheidung oder Handlung aus dem Willen oder der Zustimmung dieses Bürgers und seiner Mitbürger hervorgeht. Wenn die Handlung maßgeblich ihre Handlung ist, ist die Verpflichtung zumindest prima facie begründet; Zustimmung bedeutet etwas, das der Kontrolle nahe kommt, ihre Verpflichtung, die daraus resultierende Regierungsentscheidung zu akzeptieren, kann im Hinblick auf die Verantwortung für diese Entscheidung diskutiert werden. Diese Kontingenz muss jedoch für jeden Fall erfüllt werden, in dem das Problem auftritt, und es ist charakteristisch für moderne Demokratien, dass der Nachweis einer unmittelbaren und direkten Verantwortung äußerst schwierig ist. Politische Parteien verbreiten Wahlunterstützung in pauschale und allgemein plattmachende „Mandate“; Geheimhaltung verschleiert kausale und einflussreiche Verbindungen; gesichtslose Bürokratien verwalten mehr oder weniger neutral Programme, die sie selbst entworfen haben oder auch nicht. Sowohl Verwaltungsstudenten568 als auch Politiker569 bestätigen die Schwierigkeit herauszufinden, wer eine Entscheidung getroffen hat und auf welcher Grundlage; Wenn die Verantwortung verteilt und schwer zuzuordnen ist, kann davon ausgegangen werden, dass die Notfallanforderung nicht rigoros erfüllt wurde, ohne dass eine Verschwörungstheorie der Regierung impliziert wird. Detaillierte Untersuchungen einzelner Entscheidungen ergeben selten einen massiven Aufschwung der öffentlichen Meinung als entscheidenden Faktor; Empirische Untersuchungen tatsächlicher Regierungsentscheidungen führen im Allgemeinen zu demokratisch-revisionistischen Schlussfolgerungen. Die unmittelbare und direkte Verantwortung, die von der Theorie des starken Konsens postuliert wird, kann selten schlüssig nachgewiesen werden, und daher bleibt die Theorie des starken Konsenses der demokratischen Verpflichtung in Bezug auf die Erfüllung strenger moralischer Anforderungen in der Luft schwebend, durch ihre eigene Kontingenz im Trockenen gelassen. Alternativ kann die Aussage einer direkten und unmittelbaren Kontrolle mutmaßlich gemacht werden – weil ein Land demokratisch ist, wissen wir ohne weiteres nachzufragen, dass es eine starke Verbindung zwischen dem Mehrheitswillen und der tatsächlichen Politik gibt. Die Frage ist, warum jemand, der seine eigenen moralischen und politischen Verpflichtungen beurteilen möchte, eine solche Schlüsselprämisse mutmaßlich ohne strengen Beweis zulassen sollte. Eskalation." Zitiert in Chester, Hodgson und Page, An American Melodrama: The Presidential Campaign of 1968 (London: Andre Deutsch, 1969), p. 314.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1"/>
        <w:keepNext w:val="false"/>
        <w:keepLines w:val="false"/>
        <w:widowControl w:val="false"/>
        <w:shd w:val="clear" w:color="auto" w:fill="auto"/>
        <w:bidi w:val="0"/>
        <w:spacing w:before="0" w:after="0"/>
        <w:ind w:left="0" w:right="0" w:firstLine="300"/>
        <w:jc w:val="both"/>
        <w:rPr/>
      </w:pPr>
      <w:r>
        <w:rPr>
          <w:color w:val="000000"/>
          <w:spacing w:val="0"/>
          <w:w w:val="100"/>
          <w:shd w:fill="auto" w:val="clear"/>
          <w:lang w:val="en-US" w:eastAsia="en-US" w:bidi="en-US"/>
        </w:rPr>
        <w:t>Richard J. Van Loon und Michael S. Whittington, Das kanadische politische System: Umwelt, Struktur und Prozess (Toronto: McGraw-Hill, 1971).</w:t>
      </w:r>
    </w:p>
    <w:p>
      <w:pPr>
        <w:pStyle w:val="Flietext1"/>
        <w:keepNext w:val="false"/>
        <w:keepLines w:val="false"/>
        <w:widowControl w:val="false"/>
        <w:shd w:val="clear" w:color="auto" w:fill="auto"/>
        <w:bidi w:val="0"/>
        <w:spacing w:before="0" w:after="280"/>
        <w:ind w:left="0" w:right="0" w:firstLine="300"/>
        <w:jc w:val="both"/>
        <w:rPr/>
      </w:pPr>
      <w:r>
        <w:rPr>
          <w:color w:val="000000"/>
          <w:spacing w:val="0"/>
          <w:w w:val="100"/>
          <w:shd w:fill="auto" w:val="clear"/>
          <w:lang w:val="en-US" w:eastAsia="en-US" w:bidi="en-US"/>
        </w:rPr>
        <w:t>Das Argument der schwachen Zustimmung ist noch schwächer in Bezug auf die Rechtfertigung der Verpflichtung, und die Kontingenz ist noch weniger einer Lösung zugänglich. Die unvermeidliche Lücke zwischen einer Regierungshandlung und einer rückblickenden, sich fügenden pauschalen Zustimmung ist immer dabei, aufgelöst zu werden, tut dies jedoch nur, um sich selbst neu zu erschaffen. Man kann nie wissen, ob die Handlung, vor der man jetzt steht, auch nur eine stillschweigende Zustimmung erhalten wird. Obwohl aus einer starken Zustimmung eine Verpflichtung in Bezug auf die Verantwortung folgen kann, ist es ferner schwieriger zu bestimmen, inwieweit eine duldende Zustimmung verpflichtet, da sie entweder passive Zustimmung oder hilflose Resignation bedeuten kann; in Anbetracht der Tatsache, dass einige Wähler Wahlen als Sportereignisse wie Pferderennen zu betrachten scheinen545, ist möglicherweise nicht einmal diese flüchtige Verbindung mit einer Verpflichtung verbunden. Nimmt man das konkurrierende Elitenmodell an, muss man, bevor man aus der Aussage „X hat für Elite A und nicht für Elite B gestimmt“ eine Verpflichtung ableiten können, sagen können: „Die Programme von Elite A und Elite B umfassten eine große Anzahl wahrgenommener Optionen von X als moralisch bedeutsam bezeichnet wird“, und die Aufgabe, dies rigoros zu demonstrieren, ist wirklich entmutigend.</w:t>
      </w:r>
    </w:p>
    <w:p>
      <w:pPr>
        <w:pStyle w:val="Flietext21"/>
        <w:keepNext w:val="false"/>
        <w:keepLines w:val="false"/>
        <w:widowControl w:val="false"/>
        <w:numPr>
          <w:ilvl w:val="0"/>
          <w:numId w:val="48"/>
        </w:numPr>
        <w:shd w:val="clear" w:color="auto" w:fill="auto"/>
        <w:tabs>
          <w:tab w:val="clear" w:pos="720"/>
          <w:tab w:val="left" w:pos="643" w:leader="none"/>
        </w:tabs>
        <w:bidi w:val="0"/>
        <w:spacing w:lineRule="auto" w:line="213" w:before="0" w:after="200"/>
        <w:ind w:left="0" w:right="0" w:firstLine="300"/>
        <w:jc w:val="both"/>
        <w:rPr/>
      </w:pPr>
      <w:r>
        <w:rPr>
          <w:color w:val="000000"/>
          <w:spacing w:val="0"/>
          <w:w w:val="100"/>
          <w:shd w:fill="auto" w:val="clear"/>
          <w:lang w:val="en-US" w:eastAsia="en-US" w:bidi="en-US"/>
        </w:rPr>
        <w:t>Richard J. Van Loon und Michael S. Whittington, Das kanadische politische System: Umwelt, Struktur und Prozess (Toronto: McGraw-Hill, 1971).</w:t>
      </w:r>
    </w:p>
    <w:p>
      <w:pPr>
        <w:pStyle w:val="Flietext1"/>
        <w:keepNext w:val="false"/>
        <w:keepLines w:val="false"/>
        <w:widowControl w:val="false"/>
        <w:shd w:val="clear" w:color="auto" w:fill="auto"/>
        <w:bidi w:val="0"/>
        <w:spacing w:before="0" w:after="0"/>
        <w:ind w:left="0" w:right="0" w:firstLine="300"/>
        <w:jc w:val="both"/>
        <w:rPr/>
      </w:pPr>
      <w:r>
        <w:rPr>
          <w:color w:val="000000"/>
          <w:spacing w:val="0"/>
          <w:w w:val="100"/>
          <w:shd w:fill="auto" w:val="clear"/>
          <w:lang w:val="en-US" w:eastAsia="en-US" w:bidi="en-US"/>
        </w:rPr>
        <w:t>Neben den philosophischen Einwänden gegen diese Kontingenz muss auch auf ein erhebliches praktisches Problem hingewiesen werden. Der einzelne Bürger, der seine eigene Verpflichtung beurteilen möchte, hat die Wahl, entweder sein moralisches Urteil einer Behauptung unterzuordnen, die auf mutmaßlichen Beweisen beruht, oder die Eventualität durch die Durchführung eines komplizierten Forschungsprogramms zu lösen, das normalerweise lange Zeit und Teams erfordert Politikwissenschaftler. Das Ergebnis ist, das Problem der politischen Verpflichtung in einer Demokratie zu mystifizieren und eine strenge Untersuchung durch eine mythische und idealistische Sichtweise der Demokratie zu ersetzen, die allein durch den Glauben erfasst werden kann.</w:t>
      </w:r>
    </w:p>
    <w:p>
      <w:pPr>
        <w:pStyle w:val="Flietext1"/>
        <w:keepNext w:val="false"/>
        <w:keepLines w:val="false"/>
        <w:widowControl w:val="false"/>
        <w:shd w:val="clear" w:color="auto" w:fill="auto"/>
        <w:bidi w:val="0"/>
        <w:spacing w:before="0" w:after="0"/>
        <w:ind w:left="0" w:right="0" w:firstLine="300"/>
        <w:jc w:val="both"/>
        <w:rPr/>
      </w:pPr>
      <w:r>
        <w:rPr>
          <w:color w:val="000000"/>
          <w:spacing w:val="0"/>
          <w:w w:val="100"/>
          <w:shd w:fill="auto" w:val="clear"/>
          <w:vertAlign w:val="superscript"/>
          <w:lang w:val="en-US" w:eastAsia="en-US" w:bidi="en-US"/>
        </w:rPr>
        <w:t>Kontingenz ist nicht das einzige Problem, das zwischen der Demokratietheorie und einer befriedigenden Lösung des Problems der politischen Verpflichtung steht. Ein zweites wesentliches Problem ist die Tatsache, dass sich die Theorie des demokratischen Konsenses zwangsläufig auf eine Frage des Verfahrens reduziert, was Walzer fröhlich einräumte.546 Die Strenge der Analyse bei der Befriedigung der Eventualitäten einer Verpflichtungsbehauptung betrifft nicht den Inhalt des Regierungshandelns oder Entscheidung, sondern ausschließlich von den Verfahren, die dazu geführt haben. Dies kommt ethisch einer Unterordnung von Zwecken unter Mittel nahe, die etwaige Ergebnisse durch die Angemessenheit des Verfahrens rechtfertigt, und obwohl eine solche Unterordnung von Inhalt und Prozess für Zwecke der Verpflichtungsprüfung höchst fragwürdig ist, wird sie von der Logik des demokratischen Konsenses erzwungen Theorie. Es zwingt uns, die falsche Frage zu stellen.547</w:t>
      </w:r>
    </w:p>
    <w:p>
      <w:pPr>
        <w:pStyle w:val="Flietext1"/>
        <w:keepNext w:val="false"/>
        <w:keepLines w:val="false"/>
        <w:widowControl w:val="false"/>
        <w:shd w:val="clear" w:color="auto" w:fill="auto"/>
        <w:bidi w:val="0"/>
        <w:spacing w:before="0" w:after="260"/>
        <w:ind w:left="0" w:right="0" w:firstLine="280"/>
        <w:jc w:val="both"/>
        <w:rPr/>
      </w:pPr>
      <w:r>
        <w:rPr>
          <w:color w:val="000000"/>
          <w:spacing w:val="0"/>
          <w:w w:val="100"/>
          <w:shd w:fill="auto" w:val="clear"/>
          <w:lang w:val="en-US" w:eastAsia="en-US" w:bidi="en-US"/>
        </w:rPr>
        <w:t>Drittens mildern die zufriedenstellende Lösung des Kontingenzfaktors und die Akzeptanz der Unterordnung des Inhalts unter den Prozess in keiner Weise die Schwere des dritten Mangels, nämlich des Minderheitenproblems. Es gibt keinen Grund, warum die Minderheit die Mehrheitsentscheidung als moralisch bindend akzeptieren sollte, obwohl sie aus einer Reihe praktischer Erwägungen durchaus zustimmen könnte. In manchen Fällen – zum Beispiel Tullochs und Buchanans Beispiel, welche Straßen zu pflastern sind548 – mag das Problem beiseite gelacht werden, und im Fall von wiederholbaren, aber notwendigen Entscheidungen – zum Beispiel, auf welcher Straßenseite man fahren soll – kann es ignoriert werden . Das Problem besteht darin, dass nicht die gesamte Politik unter solchen Überschriften erschöpft werden kann, und bei moralisch bedeutsamen Angelegenheiten wird das Problem, die Verpflichtung einer abweichenden Minderheit nachzuweisen, unüberwindbar. Zu behaupten, dass Andersdenkende dem System wirklich „zustimmen“, ist bloße Sophistik; es erfordert, dass Minderheiten die Details des tatsächlichen Regierungshandelns ignorieren, um „gute Deutsche“ zu sein. Nach der Theorie der starken Zustimmung ist es nicht einmal Sophistik; Wenn die Abstimmung für eine Politik und damit die gemeinsame Verantwortung dafür eine Verpflichtung schafft, dann kann es nicht sein, gegen diese Politik zu stimmen. In der Philosophie muss man sich nicht weniger als im wirklichen Leben entscheiden, seinen Kuchen zu essen oder seinen Kuchen zu essen. In jeder Frage von moralischer Bedeutung kann sich die Minderheit nicht der Mehrheit beugen, nur weil sie eine Mehrheit ist, ohne die kantische Ketzerei der Heteronomie des Willens zu begehen.</w:t>
      </w:r>
    </w:p>
    <w:p>
      <w:pPr>
        <w:pStyle w:val="Flietext21"/>
        <w:keepNext w:val="false"/>
        <w:keepLines w:val="false"/>
        <w:widowControl w:val="false"/>
        <w:numPr>
          <w:ilvl w:val="0"/>
          <w:numId w:val="48"/>
        </w:numPr>
        <w:shd w:val="clear" w:color="auto" w:fill="auto"/>
        <w:tabs>
          <w:tab w:val="clear" w:pos="720"/>
          <w:tab w:val="left" w:pos="639" w:leader="none"/>
        </w:tabs>
        <w:bidi w:val="0"/>
        <w:spacing w:lineRule="auto" w:line="240" w:before="0" w:after="0"/>
        <w:ind w:left="0" w:right="0" w:firstLine="240"/>
        <w:jc w:val="left"/>
        <w:rPr/>
      </w:pPr>
      <w:r>
        <w:rPr>
          <w:color w:val="000000"/>
          <w:spacing w:val="0"/>
          <w:w w:val="100"/>
          <w:shd w:fill="auto" w:val="clear"/>
          <w:lang w:val="en-US" w:eastAsia="en-US" w:bidi="en-US"/>
        </w:rPr>
        <w:t>Walzer, Verpflichtungen, Vorwort; für eine ausführlichere Erörterung von Walzer siehe Anhang.</w:t>
      </w:r>
    </w:p>
    <w:p>
      <w:pPr>
        <w:pStyle w:val="Flietext21"/>
        <w:keepNext w:val="false"/>
        <w:keepLines w:val="false"/>
        <w:widowControl w:val="false"/>
        <w:numPr>
          <w:ilvl w:val="0"/>
          <w:numId w:val="48"/>
        </w:numPr>
        <w:shd w:val="clear" w:color="auto" w:fill="auto"/>
        <w:tabs>
          <w:tab w:val="clear" w:pos="720"/>
          <w:tab w:val="left" w:pos="639" w:leader="none"/>
        </w:tabs>
        <w:bidi w:val="0"/>
        <w:spacing w:lineRule="auto" w:line="220" w:before="0" w:after="200"/>
        <w:ind w:left="0" w:right="0" w:firstLine="240"/>
        <w:jc w:val="left"/>
        <w:rPr/>
      </w:pPr>
      <w:r>
        <w:rPr>
          <w:color w:val="000000"/>
          <w:spacing w:val="0"/>
          <w:w w:val="100"/>
          <w:shd w:fill="auto" w:val="clear"/>
          <w:lang w:val="en-US" w:eastAsia="en-US" w:bidi="en-US"/>
        </w:rPr>
        <w:t>Vgl. Pitkin, "Verpflichtung und Zustimmung - I."</w:t>
      </w:r>
    </w:p>
    <w:p>
      <w:pPr>
        <w:pStyle w:val="Flietext1"/>
        <w:keepNext w:val="false"/>
        <w:keepLines w:val="false"/>
        <w:widowControl w:val="false"/>
        <w:shd w:val="clear" w:color="auto" w:fill="auto"/>
        <w:bidi w:val="0"/>
        <w:spacing w:before="0" w:after="240"/>
        <w:ind w:left="0" w:right="0" w:firstLine="280"/>
        <w:jc w:val="both"/>
        <w:rPr/>
      </w:pPr>
      <w:r>
        <w:rPr>
          <w:color w:val="000000"/>
          <w:spacing w:val="0"/>
          <w:w w:val="100"/>
          <w:shd w:fill="auto" w:val="clear"/>
          <w:lang w:val="en-US" w:eastAsia="en-US" w:bidi="en-US"/>
        </w:rPr>
        <w:t>Aus diesen drei Gründen kann die Theorie des demokratischen Konsenses keine rigorose und zufriedenstellende Lösung des Verpflichtungsproblems liefern. Erstens erfordert das Element der Kontingenz eine empirische Untersuchung, die typischerweise zu teuer und schwierig ist, um praktikabel zu sein. Zweitens lenkt die Erhebung des Prozesses über den Inhalt die Aufmerksamkeit von moralisch entscheidenden Aspekten des Problems ab.</w:t>
      </w:r>
    </w:p>
    <w:p>
      <w:pPr>
        <w:pStyle w:val="Flietext1"/>
        <w:keepNext w:val="false"/>
        <w:keepLines w:val="false"/>
        <w:widowControl w:val="false"/>
        <w:shd w:val="clear" w:color="auto" w:fill="auto"/>
        <w:bidi w:val="0"/>
        <w:spacing w:before="0" w:after="0"/>
        <w:ind w:left="0" w:right="0" w:hanging="0"/>
        <w:jc w:val="both"/>
        <w:rPr/>
      </w:pPr>
      <w:r>
        <w:rPr>
          <w:color w:val="000000"/>
          <w:spacing w:val="0"/>
          <w:w w:val="100"/>
          <w:shd w:fill="auto" w:val="clear"/>
          <w:lang w:val="en-US" w:eastAsia="en-US" w:bidi="en-US"/>
        </w:rPr>
        <w:t>Drittens bleibt das Problem der abweichenden Minderheit innerhalb der Bedingungen des voluntaristischen Zustimmungsmodells unlösbar. Die Theorie des demokratischen Konsenses sollte nicht als Lösung für das Problem der politischen Verpflichtung angeführt werden, weil sie nicht diese Frage beantwortet, sondern eine Frage ganz anderer Ordnung.</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Jede rein negative Kritik beginnt notwendigerweise schrill und gekünstelt zu klingen und kann sich eines solchen Scheins nur entledigen, indem sie aufhört, rein negativ zu sein. Es wird argumentiert, dass eine Theorie, die eine Zustimmungspflicht begründet, viel besser in der unterstellten Zustimmung des unterstellten Vertrags begründet ist als in der voluntaristischen, willkürlichen und daher kontingenten Zustimmung der Theorie der demokratischen Zustimmung. Dies lässt sich anhand aller drei unheilbaren Mängel der Theorie des demokratischen Konsenses demonstrieren. Erstens, während die demokratische Verpflichtungstheorie durch das Element der Kontingenz sowohl philosophisch unbefriedigend als auch praktisch unbrauchbar gemacht wird, spricht die unterstellte Zustimmung nicht in Begriffen der voluntaristischen Zustimmung einer Anzahl tatsächlicher Individuen, sondern eher in Begriffen der zeitlosen Zustimmung eines hypothetischen rationalen Menschen; Eventualitäten werden eliminiert. Zweitens, während sich die Demokratietheorie auf eine voluntaristische Zustimmung und folglich auf einen Prozess konzentriert, befasst sich die Theorie der imputierten Zustimmung nicht mit solchen zufälligen und historischen Merkmalen (wer hat wann und wozu zugestimmt?), sondern mit der Natur und den Aspekten dessen, was eine Zustimmung rational erzwingt. Drittens, wo die Theorie der demokratischen Zustimmung, die auf einer willkürlichen und freiwilligen Zustimmung basiert, das Problem derer, die willkürlich nicht zugestimmt haben, nicht endgültig innerhalb ihrer eigenen Aufgabenbereiche lösen kann (ganz zu schweigen von denen, die ihre Meinung willkürlich ändern und die Zustimmung widerrufen), die unterstellte Zustimmungstheorie hat kein solches Problem, da sie sich nur mit der zeitlosen Zustimmung des hypothetischen rationalen Menschen befasst; wo sich die Demokratietheorie auf ein unlösbares Mehrheits-/Minderheitsproblem konzentriert, hat die Theorie der unterstellten Zustimmung kein solches Problem, da sie sich nur mit der zeitlosen Zustimmung des hypothetischen rationalen Menschen befasst; Während sich die demokratische Theorie auf ein unlösbares Mehrheits-/Minderheitsproblem konzentriert, konzentriert sich die Theorie der unterstellten Zustimmung auf eine rational/irrationale Dichotomie, die viel leichter einer Lösung zugänglich ist (wenn auch nicht unbedingt so stark wie Lockes Assimilation irrationaler Menschen an Ungeziefer). Demokratische Theorie und Imputed Consent Theory zielen eigentlich auf ganz unterschiedliche Fragen ab; Während die Theorie der demokratischen Zustimmung am besten als optimale Lösung für das Problem der praktischen Entscheidungsfindung angesehen wird, beantwortet die unterstellte Zustimmung die Frage, warum man dem Gesetz gehorchen sollte.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21"/>
        <w:keepNext w:val="false"/>
        <w:keepLines w:val="false"/>
        <w:widowControl w:val="false"/>
        <w:numPr>
          <w:ilvl w:val="0"/>
          <w:numId w:val="48"/>
        </w:numPr>
        <w:shd w:val="clear" w:color="auto" w:fill="auto"/>
        <w:tabs>
          <w:tab w:val="clear" w:pos="720"/>
          <w:tab w:val="left" w:pos="625" w:leader="none"/>
        </w:tabs>
        <w:bidi w:val="0"/>
        <w:spacing w:lineRule="auto" w:line="213" w:before="0" w:after="200"/>
        <w:ind w:left="0" w:right="0" w:firstLine="280"/>
        <w:jc w:val="both"/>
        <w:rPr/>
      </w:pPr>
      <w:r>
        <w:rPr>
          <w:color w:val="000000"/>
          <w:spacing w:val="0"/>
          <w:w w:val="100"/>
          <w:shd w:fill="auto" w:val="clear"/>
          <w:lang w:val="en-US" w:eastAsia="en-US" w:bidi="en-US"/>
        </w:rPr>
        <w:t>James M. Buchanan und Gordon Tullock, The Calculus of Consent: Logical Foundations of Constitutional Democracy (Ann Arbor: University of Michigan Press, 1969).</w:t>
      </w:r>
    </w:p>
    <w:p>
      <w:pPr>
        <w:sectPr>
          <w:footerReference w:type="even" r:id="rId25"/>
          <w:footerReference w:type="default" r:id="rId26"/>
          <w:type w:val="nextPage"/>
          <w:pgSz w:w="12240" w:h="15840"/>
          <w:pgMar w:left="1483" w:right="1483" w:gutter="0" w:header="0" w:top="1432" w:footer="782" w:bottom="1210"/>
          <w:pgNumType w:fmt="decimal"/>
          <w:formProt w:val="false"/>
          <w:textDirection w:val="lrTb"/>
          <w:docGrid w:type="default" w:linePitch="360" w:charSpace="0"/>
        </w:sect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In dieser Hinsicht bleibt die Argumentation unbefriedigend, weil unvollständig. Alles, was vorgeschlagen wurde, sind die Umrisse einer Theorie der Verpflichtung, die auf unterstellter Zustimmung basiert; zu zeigen, dass die unterstellte Zustimmung zu keiner der Behinderungen neigt, die die demokratische Zustimmungstheorie so lähmen, ist nicht dasselbe wie zu beweisen, dass die unterstellte Zustimmungstheorie als Lösung für das Problem der politischen Verpflichtung auch nur versuchsweise zufriedenstellend ist. Die Gliederung ist ein Versprechen, das im Schlussteil teilweise eingelöst wird; in der Zwischenzeit wird gezeigt, warum sich die imputierte Zustimmungstheorie nicht der fiktiven Brücke der zeitlosen Zustimmung eines hypothetischen Mannes entledigen kann.</w:t>
      </w:r>
    </w:p>
    <w:p>
      <w:pPr>
        <w:pStyle w:val="Berschrift11"/>
        <w:keepNext w:val="true"/>
        <w:keepLines/>
        <w:widowControl w:val="false"/>
        <w:numPr>
          <w:ilvl w:val="0"/>
          <w:numId w:val="49"/>
        </w:numPr>
        <w:shd w:val="clear" w:color="auto" w:fill="auto"/>
        <w:tabs>
          <w:tab w:val="clear" w:pos="720"/>
          <w:tab w:val="left" w:pos="457" w:leader="none"/>
        </w:tabs>
        <w:bidi w:val="0"/>
        <w:spacing w:lineRule="auto" w:line="240" w:before="0" w:after="440"/>
        <w:ind w:left="0" w:right="0" w:hanging="0"/>
        <w:jc w:val="both"/>
        <w:rPr/>
      </w:pPr>
      <w:hyperlink w:anchor="bookmark15" w:tgtFrame="Current Document">
        <w:bookmarkStart w:id="39" w:name="bookmark48"/>
        <w:bookmarkStart w:id="40" w:name="bookmark50"/>
        <w:bookmarkStart w:id="41" w:name="bookmark49"/>
        <w:r>
          <w:rPr>
            <w:spacing w:val="0"/>
            <w:w w:val="100"/>
            <w:shd w:fill="auto" w:val="clear"/>
            <w:lang w:val="en-US" w:eastAsia="en-US" w:bidi="en-US"/>
          </w:rPr>
          <w:t>Das Thema geteilt: 2. T.H. Grün</w:t>
        </w:r>
      </w:hyperlink>
      <w:bookmarkEnd w:id="39"/>
      <w:bookmarkEnd w:id="40"/>
      <w:bookmarkEnd w:id="41"/>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Obwohl T.H. Green bietet sich für eine Auseinandersetzung mit politischer Verpflichtung an, angesichts seiner oft zitierten Vorlesungen zu diesem Thema erscheint seine Aufnahme in eine These über Vertrag und Zustimmung eher zweifelhaft. Die Begründung für eine solche Aufnahme wird später angegeben, aber zuerst ist es notwendig, seine Ideen und Argumente zum Thema Verpflichtung kurz darzulegen.</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Zwei der Grundelemente von Greens philosophischer Argumentation lassen sich durch Bezugnahme auf die Namen Kant und Aristoteles bezeichnen. Von Kant leitet er die Vorstellung ab, dass das, was eine Handlung zu einer moralischen Handlung macht, nicht nur die Handlung selbst ist, sondern auch das Motiv, das die Handlung veranlasst hat, wobei das einzige vollständig moralische Motiv das der Pflicht ist. Daher müssen Recht und Moral getrennt werden, da sich das Recht auf Zwang bezieht und die Moral nicht, mit dem qualifizierenden Faktor, dass die Gesetzgebung bei der Festlegung der Bedingungen für die Moral nützlich sein kann. Von Aristoteles (und anderen) leitet er den Begriff des Menschen als politisches Tier ab, ein Wesen, das nicht ganz er selbst ohne oder getrennt von der politischen Gesellschaft ist, und die Rechtfertigung des Staates nicht in Bezug auf seinen Ursprung und seine Geschichte (z Vertragstheorien in der orthodoxen Interpretation), sondern in Bezug auf ihren Zweck und ihre Funktion. Diese soziale Natur des Menschen wird durch eine allgemeine Herangehensweise an den Menschen und die Gesellschaft gesehen, die Rousseau (von Green selbst) und Hegel (von fast jedem Kommentator von Green und seiner Schule) zugeschrieben wird. Es ist diese Anleihe bei Rousseau, die ihn für unsere Zwecke so relevant macht.</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Bei aller Einfachheit dieser kurzen Zusammenfassung gibt es in Greens Analyse eine Spannung, die sein gesamtes Werk durchdringt. Zumindest operiert er innerhalb dieses Rahmens auf zwei ganz verschiedene Weisen; Das wesentliche Problem besteht höchstens darin, dass Green nicht so sehr ein Argument vorbringt, sondern zwei unterschiedliche und getrennte Argumente, Argumente, die nicht nur getrennt, sondern in vielerlei Hinsicht direkt widersprüchlich sind, sowohl im allgemeinen Ton als auch im Detail.</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Greens erstes Argument ist ein liberales humanistisches. Er beginnt mit der Behauptung der Gleichheit aller Menschen – eigentlich eine Annahme, die seiner gesamten Argumentation zugrunde liegt, die er erfolglos als Schlussfolgerung zu präsentieren versucht. Daraus zieht er mit unterschiedlicher Konsequenz gute liberale Schlussfolgerungen wie die Verurteilung der Sklaverei und die Heiligkeit des Privateigentums. Der gesamte Ton seiner Argumentation ändert sich drastisch, wenn er sich der Diskussion über die politische Verpflichtung zuwendet, dem zentralen Thema seiner Arbeit. Dieses zweite Argument scheint eindeutig, wenn auch widerstrebend, etatistisch zu sein – eigentlich ist der Vorwurf des Etatismus eine zu starke Vereinfachung, aber es dient dazu, das Problem zu skizzieren und wird später relativiert. Der Bruch ist freilich nicht vollständig – beide Argumente gehen ineinander über, eine Vermischung, die Diskontinuität und Inkompatibilität nicht kaschiert. Von einer vagen Rede über die Gesellschaft, die scheinbar ein Gesamtkonzept der sozialen Beziehungen von Männern zu Männern meint, gleitet er zu einer Rede von einer Gesellschaft und weiter zu einer virtuellen Identifizierung einer Gesellschaft und eines Staates (mit Ausnahme des türkischen Empire und vielleicht das zaristische Russland). Letzteres ist immer ein großer Schritt und ein zweifelhafter, aber Green scheint so unbekümmert, dass er davon ausgeht, ohne den Punkt direkt zu argumentieren; es reduziert sich nicht auf ein Argumentationsproblem, sondern auf eine Definitionsfrage.</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Das Bindeglied zwischen beiden ist der Gemeinwohlgedanke, der wichtigste Begriff in Greens Philosophie. Es hat mehr als nur eine flüchtige oder zufällige Ähnlichkeit mit Rousseaus volonte generale, aber wie sein intellektueller Vorläufer wurde es extrem schwierig, es auszudrücken, sobald darauf hingewiesen wurde, dass es nichts mit irgendeinem individuellen materiellen Interesse zu tun hat, außer als Voraussetzung für etwas anderes klar was es ist. Sie hat wie die volonte generale etwas mit der Errungenschaft eines Rationalitäts- und Tugendkomplexes zu tun, ist aber im Gegensatz zur volonte generale nicht zeitlos, sondern progressiv. Es ist ein Merkmal, das Green diesem Gemeinwohl zuschreibt, das seine Argumentation vom Individualismus zu etwas verlagert, das dem Etatismus ähnelt.</w:t>
      </w:r>
    </w:p>
    <w:p>
      <w:pPr>
        <w:pStyle w:val="Flietext1"/>
        <w:keepNext w:val="false"/>
        <w:keepLines w:val="false"/>
        <w:widowControl w:val="false"/>
        <w:shd w:val="clear" w:color="auto" w:fill="auto"/>
        <w:bidi w:val="0"/>
        <w:spacing w:before="0" w:after="260"/>
        <w:ind w:left="0" w:right="0" w:firstLine="320"/>
        <w:jc w:val="both"/>
        <w:rPr/>
      </w:pPr>
      <w:r>
        <w:rPr>
          <w:color w:val="000000"/>
          <w:spacing w:val="0"/>
          <w:w w:val="100"/>
          <w:shd w:fill="auto" w:val="clear"/>
          <w:lang w:val="en-US" w:eastAsia="en-US" w:bidi="en-US"/>
        </w:rPr>
        <w:t>Den Widerspruch in Greens Argument als liberal/etatistisch darzustellen, ist bis zu einem gewissen Punkt nützlich; vollständiger, es ist die Kehrseite eines anderen Problems, das für ihn noch grundlegender ist, nämlich das Real/Ideal-Problem. Da diese beiden Probleme so eng miteinander verbunden sind, ist es nicht ungenau, zuerst ihre einfachere liberale/etatistische Form zu betonen, obwohl die zweite für ein komplexeres Verständnis einbezogen werden muss.</w:t>
      </w:r>
    </w:p>
    <w:p>
      <w:pPr>
        <w:pStyle w:val="Flietext1"/>
        <w:keepNext w:val="false"/>
        <w:keepLines w:val="false"/>
        <w:widowControl w:val="false"/>
        <w:shd w:val="clear" w:color="auto" w:fill="auto"/>
        <w:bidi w:val="0"/>
        <w:spacing w:before="0" w:after="120"/>
        <w:ind w:left="0" w:right="0" w:hanging="0"/>
        <w:jc w:val="left"/>
        <w:rPr/>
      </w:pPr>
      <w:r>
        <w:rPr>
          <w:i/>
          <w:iCs/>
          <w:color w:val="000000"/>
          <w:spacing w:val="0"/>
          <w:w w:val="100"/>
          <w:shd w:fill="auto" w:val="clear"/>
          <w:lang w:val="en-US" w:eastAsia="en-US" w:bidi="en-US"/>
        </w:rPr>
        <w:t>Das erste Argument: Grün der liberale Individualist</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Green beginnt natürlich mit einer Definition seines Themas. Der Begriff „politische Verpflichtung“ soll „die Verpflichtung des Untertanen gegenüber dem Souverän, die Verpflichtung des Bürgers gegenüber dem Staat und die Verpflichtung der Einzelnen untereinander umfassen, wie sie von einem politischen Vorgesetzten durchgesetzt wird.“549 Was sinnvoll sein kann über diese drei verschiedenen Komponenten gesagt? Der Staat wird mit dem Komplex von Institutionen identifiziert, die die Gesellschaft ausmachen,550 und „ist kein Staat“, es sei denn, er „verleiht bereits bestehenden Rechten eine vollständigere Wirklichkeit.“551 Schon jetzt tauchen Schwierigkeiten auf; die Verschmelzung von Staat und Gesellschaft ist explizit, und es ist schwer zu verstehen, was er mit „bereits bestehenden Rechten“ meint, obwohl dies eher ein Artefakt von Greens Formulierung als die Folge irgendwelcher philosophischer Mängel ist. Der Begriff kann nur in Verbindung mit seiner Fortschrittsvorstellung und dem Mechanismus der Geschichte wirklich verstanden werden; die bereits bestehenden Rechte beziehen sich auf die rationale/moralische Ebene der Menschen dieser Gesellschaft, und der Staat muss organisiert werden, um diese durch die Institutionen, die er umfasst, zu fördern.</w:t>
      </w:r>
    </w:p>
    <w:p>
      <w:pPr>
        <w:pStyle w:val="Flietext1"/>
        <w:keepNext w:val="false"/>
        <w:keepLines w:val="false"/>
        <w:widowControl w:val="false"/>
        <w:shd w:val="clear" w:color="auto" w:fill="auto"/>
        <w:bidi w:val="0"/>
        <w:spacing w:before="0" w:after="280"/>
        <w:ind w:left="0" w:right="0" w:firstLine="260"/>
        <w:jc w:val="both"/>
        <w:rPr/>
      </w:pPr>
      <w:r>
        <w:rPr>
          <w:color w:val="000000"/>
          <w:spacing w:val="0"/>
          <w:w w:val="100"/>
          <w:shd w:fill="auto" w:val="clear"/>
          <w:lang w:val="en-US" w:eastAsia="en-US" w:bidi="en-US"/>
        </w:rPr>
        <w:t>Der Souverän hingegen ist der „Erhalter“ „des gesamten Komplexes von Institutionen der politischen Gesellschaft“552 und seine Aufgabe „besteht darin, diese Rechte vor einer Invasion von außen, von fremden Nationen oder von innen zu schützen Mitglieder der Gesellschaft, die aufhören, sich als solche zu verhalten.“553 Der Komplex „Bürger/Staat“ ist dynamisch und progressiv; der „Subjekt/Souverän“-Komplex scheint eher passiv und defensiv zu sein. Angesichts der Möglichkeit, dass es den politischen Institutionen nicht gelingt, sich an ein neues Rationalitätsniveau anzupassen, und daher der Staat aufhört, ein Staat zu sein (in Greens eigenen Begriffen), scheint es eine mögliche, wenn auch vorübergehende, Spannung zwischen den zwei Aspekte der Verpflichtung – zwischen dem „Subjekt“, das bei der Aufrechterhaltung der politischen Gesellschaft gehorcht, und dem „Bürger“, der jetzt staatenlos ist und auf die Entstehung eines Staates wartet, der Rechte verwirklicht, die dem neuen und höheren Niveau der Tugend/Rationalität entsprechen. Diese Möglichkeit scheint von Green nicht untersucht worden zu sein, aber seine Logik würde ihn dazu zwingen, den „Bürger“-Aspekt vor dem „Subjekt“-Aspekt zu betrachten.</w:t>
      </w:r>
    </w:p>
    <w:p>
      <w:pPr>
        <w:pStyle w:val="Flietext21"/>
        <w:keepNext w:val="false"/>
        <w:keepLines w:val="false"/>
        <w:widowControl w:val="false"/>
        <w:numPr>
          <w:ilvl w:val="0"/>
          <w:numId w:val="48"/>
        </w:numPr>
        <w:shd w:val="clear" w:color="auto" w:fill="auto"/>
        <w:tabs>
          <w:tab w:val="clear" w:pos="720"/>
          <w:tab w:val="left" w:pos="625" w:leader="none"/>
        </w:tabs>
        <w:bidi w:val="0"/>
        <w:spacing w:lineRule="auto" w:line="213" w:before="0" w:after="0"/>
        <w:ind w:left="0" w:right="0" w:firstLine="260"/>
        <w:jc w:val="both"/>
        <w:rPr/>
      </w:pPr>
      <w:r>
        <w:rPr>
          <w:color w:val="000000"/>
          <w:spacing w:val="0"/>
          <w:w w:val="100"/>
          <w:shd w:fill="auto" w:val="clear"/>
          <w:lang w:val="en-US" w:eastAsia="en-US" w:bidi="en-US"/>
        </w:rPr>
        <w:t>Thomas Hill Green, Vorlesungen über die Prinzipien politischer Verpflichtung. (London: Longmans, Green &amp; Co. Ltd., 1941), Abschnitt Nr. 1.</w:t>
      </w:r>
    </w:p>
    <w:p>
      <w:pPr>
        <w:pStyle w:val="Flietext21"/>
        <w:keepNext w:val="false"/>
        <w:keepLines w:val="false"/>
        <w:widowControl w:val="false"/>
        <w:numPr>
          <w:ilvl w:val="0"/>
          <w:numId w:val="48"/>
        </w:numPr>
        <w:shd w:val="clear" w:color="auto" w:fill="auto"/>
        <w:tabs>
          <w:tab w:val="clear" w:pos="720"/>
          <w:tab w:val="left" w:pos="639" w:leader="none"/>
        </w:tabs>
        <w:bidi w:val="0"/>
        <w:spacing w:lineRule="auto" w:line="189" w:before="0" w:after="0"/>
        <w:ind w:left="0" w:right="0" w:firstLine="240"/>
        <w:jc w:val="left"/>
        <w:rPr/>
      </w:pPr>
      <w:r>
        <w:rPr>
          <w:color w:val="000000"/>
          <w:spacing w:val="0"/>
          <w:w w:val="100"/>
          <w:shd w:fill="auto" w:val="clear"/>
          <w:lang w:val="en-US" w:eastAsia="en-US" w:bidi="en-US"/>
        </w:rPr>
        <w:t>Ebd., Abschnitt #114.</w:t>
      </w:r>
    </w:p>
    <w:p>
      <w:pPr>
        <w:pStyle w:val="Flietext21"/>
        <w:keepNext w:val="false"/>
        <w:keepLines w:val="false"/>
        <w:widowControl w:val="false"/>
        <w:numPr>
          <w:ilvl w:val="0"/>
          <w:numId w:val="48"/>
        </w:numPr>
        <w:shd w:val="clear" w:color="auto" w:fill="auto"/>
        <w:tabs>
          <w:tab w:val="clear" w:pos="720"/>
          <w:tab w:val="left" w:pos="639" w:leader="none"/>
        </w:tabs>
        <w:bidi w:val="0"/>
        <w:spacing w:lineRule="auto" w:line="189" w:before="0" w:after="0"/>
        <w:ind w:left="0" w:right="0" w:firstLine="240"/>
        <w:jc w:val="left"/>
        <w:rPr/>
      </w:pPr>
      <w:r>
        <w:rPr>
          <w:color w:val="000000"/>
          <w:spacing w:val="0"/>
          <w:w w:val="100"/>
          <w:shd w:fill="auto" w:val="clear"/>
          <w:lang w:val="en-US" w:eastAsia="en-US" w:bidi="en-US"/>
        </w:rPr>
        <w:t>Ebenda, Abschnitt #132.</w:t>
      </w:r>
    </w:p>
    <w:p>
      <w:pPr>
        <w:pStyle w:val="Flietext21"/>
        <w:keepNext w:val="false"/>
        <w:keepLines w:val="false"/>
        <w:widowControl w:val="false"/>
        <w:numPr>
          <w:ilvl w:val="0"/>
          <w:numId w:val="48"/>
        </w:numPr>
        <w:shd w:val="clear" w:color="auto" w:fill="auto"/>
        <w:tabs>
          <w:tab w:val="clear" w:pos="720"/>
          <w:tab w:val="left" w:pos="639" w:leader="none"/>
        </w:tabs>
        <w:bidi w:val="0"/>
        <w:spacing w:lineRule="auto" w:line="189" w:before="0" w:after="0"/>
        <w:ind w:left="0" w:right="0" w:firstLine="240"/>
        <w:jc w:val="left"/>
        <w:rPr/>
      </w:pPr>
      <w:r>
        <w:rPr>
          <w:color w:val="000000"/>
          <w:spacing w:val="0"/>
          <w:w w:val="100"/>
          <w:shd w:fill="auto" w:val="clear"/>
          <w:lang w:val="en-US" w:eastAsia="en-US" w:bidi="en-US"/>
        </w:rPr>
        <w:t>Ebenda, Abschnitt #93.</w:t>
      </w:r>
    </w:p>
    <w:p>
      <w:pPr>
        <w:pStyle w:val="Flietext21"/>
        <w:keepNext w:val="false"/>
        <w:keepLines w:val="false"/>
        <w:widowControl w:val="false"/>
        <w:numPr>
          <w:ilvl w:val="0"/>
          <w:numId w:val="48"/>
        </w:numPr>
        <w:shd w:val="clear" w:color="auto" w:fill="auto"/>
        <w:tabs>
          <w:tab w:val="clear" w:pos="720"/>
          <w:tab w:val="left" w:pos="639" w:leader="none"/>
        </w:tabs>
        <w:bidi w:val="0"/>
        <w:spacing w:lineRule="auto" w:line="189" w:before="0" w:after="200"/>
        <w:ind w:left="0" w:right="0" w:firstLine="240"/>
        <w:jc w:val="left"/>
        <w:rPr/>
      </w:pPr>
      <w:r>
        <w:rPr>
          <w:color w:val="000000"/>
          <w:spacing w:val="0"/>
          <w:w w:val="100"/>
          <w:shd w:fill="auto" w:val="clear"/>
          <w:lang w:val="en-US" w:eastAsia="en-US" w:bidi="en-US"/>
        </w:rPr>
        <w:t>Ebenda, Abschnitt #132.</w:t>
      </w:r>
    </w:p>
    <w:p>
      <w:pPr>
        <w:pStyle w:val="Flietext1"/>
        <w:keepNext w:val="false"/>
        <w:keepLines w:val="false"/>
        <w:widowControl w:val="false"/>
        <w:shd w:val="clear" w:color="auto" w:fill="auto"/>
        <w:bidi w:val="0"/>
        <w:spacing w:before="0" w:after="0"/>
        <w:ind w:left="0" w:right="0" w:firstLine="260"/>
        <w:jc w:val="both"/>
        <w:rPr/>
      </w:pPr>
      <w:r>
        <w:rPr>
          <w:color w:val="000000"/>
          <w:spacing w:val="0"/>
          <w:w w:val="100"/>
          <w:shd w:fill="auto" w:val="clear"/>
          <w:lang w:val="en-US" w:eastAsia="en-US" w:bidi="en-US"/>
        </w:rPr>
        <w:t>Wir könnten versuchen, ein weiteres Problem aufzuwerfen, das umgangen wird, indem wir einen Staat so definieren, dass er den Rechten eine „vollere Realität“ verleiht, und einen Souverän, der diese Rechte schützt – nämlich die Möglichkeit, dass ein Recht ein anderes beeinträchtigt oder mit ihm in Konflikt gerät. Wie aus seiner Erörterung der Vertragsfreiheit eindeutig hervorgeht554, sind solche Bedenken für Green völlig irrelevant, und daher ist das Problem überhaupt nicht wichtig. Ihm geht es nicht um ein Bündel diskreter, isolierbarer Rechte, die einzelne Personen besitzen, die sie dann nach eigenem Gutdünken ausüben; vielmehr handelt es sich um „Rechte“ als einen zusammenhängenden Komplex, der die Entwicklung des Menschen zu einem möglichst hohen und vollständigen Ausmaß auf der Ebene der in einer bestimmten Gesellschaft verwirklichten Rationalität ermöglicht. Die Rechte sind nicht wichtig für sich selbst, sondern nur für das, wozu sie beitragen; daher liegt die Lösung in jedem möglichen Rechtskonflikt nicht im Hinblick auf diese Rechte an und für sich, sondern im Hinblick auf den Beitrag des gesamten Rechtskomplexes, der zu jeder Zeit existiert, zur vollen menschlichen Entwicklung.</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Der dritte Punkt scheint darauf gerichtet zu sein, einen aktiven Staat mit den Anforderungen der Kantischen Moral zu vereinbaren, und ist der Ausgangspunkt für sein Konzept der „positiven Freiheit“. Sowohl der Souverän als auch der Staat handeln vermutlich durch die Regierung, um Forderungen an die Bevölkerung zu stellen; sie befehlen und werden befolgt. Andererseits muss ein positiver Zustand in eine große Anzahl von Angelegenheiten eingreifen, die allgemein (und besonders in Greens Tagen) als privat angesehen werden. Der Unterschied scheint zu sein, dass, während die Verpflichtung zum Souverän oder zum Staat darin besteht, einem Befehl oder einer Anordnung der Regierung zu gehorchen, ein solcher Befehl im Fall des dritten Faktors nur eine zusätzliche Sache ist und das Element der Verpflichtung bereits vorhanden war. Wenn der Souverän auf eine externe Bedrohung durch Wehrpflicht reagiert, wurde die Verpflichtung durch diese Wehrpflicht geschaffen, und es gab keine Verpflichtung zur Wehrpflicht, bis die Wehrpflicht angeordnet wurde. Ganz anders ist es, wenn der Staat als Reaktion auf eine innerstaatliche Situation Kinderarbeit verbietet; Bevor die Regierung handelte, gab es bereits eine Verpflichtung für alle, solche Praktiken zu unterlassen, weil sie die volle menschliche Entwicklung vieler Kinder verhindern, aber das Problem war, dass sich viele Menschen einer solchen Verpflichtung entzogen. In seinem Vortrag über die Vertragsfreiheit555 macht Green deutlich, dass eine solche Gesetzgebung in keiner Weise die Moral derjenigen berührt, die auch ohne die Gesetzgebung auf die Einstellung von Kinderarbeit verzichtet hätten. Die Gesetzgebung macht es uns natürlich unmöglich zu sagen, ob ein Mann moralisch aus Pflicht handelt oder ob er nur aus Angst vor Strafe eine moralische Pflicht erfüllt, aber das ist eine ganz andere Sache und eine, mit der Green es zu tun hat nicht betroffen. Der kantische Ansatz schließt die Frage „Ist es klug, moralisch zu sein?“ von vornherein aus. denn es ist eine Moral, die ein richtiges Motiv erfordert, damit eine Handlung moralisch ist, und dieses Motiv ist nicht Klugheit. Eine Handlung kann nur dann moralisch sein, wenn sie „um (ihrer) Güte willen getan wird, nicht um irgendeiner Freude oder Befriedigung von Wünschen willen, die (sie) den Handelnden bringt.“556 Green würde T.S. Eliot: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1"/>
        <w:keepNext w:val="false"/>
        <w:keepLines w:val="false"/>
        <w:widowControl w:val="false"/>
        <w:shd w:val="clear" w:color="auto" w:fill="auto"/>
        <w:bidi w:val="0"/>
        <w:spacing w:before="0" w:after="0"/>
        <w:ind w:left="0" w:right="0" w:firstLine="620"/>
        <w:jc w:val="left"/>
        <w:rPr/>
      </w:pPr>
      <w:r>
        <w:rPr>
          <w:color w:val="000000"/>
          <w:spacing w:val="0"/>
          <w:w w:val="100"/>
          <w:shd w:fill="auto" w:val="clear"/>
          <w:lang w:val="en-US" w:eastAsia="en-US" w:bidi="en-US"/>
        </w:rPr>
        <w:t>Die letzte Versuchung ist der größte Verrat;</w:t>
      </w:r>
    </w:p>
    <w:p>
      <w:pPr>
        <w:pStyle w:val="Flietext1"/>
        <w:keepNext w:val="false"/>
        <w:keepLines w:val="false"/>
        <w:widowControl w:val="false"/>
        <w:shd w:val="clear" w:color="auto" w:fill="auto"/>
        <w:bidi w:val="0"/>
        <w:spacing w:before="0" w:after="260"/>
        <w:ind w:left="0" w:right="0" w:firstLine="240"/>
        <w:jc w:val="both"/>
        <w:rPr/>
      </w:pPr>
      <w:r>
        <w:rPr>
          <w:color w:val="000000"/>
          <w:spacing w:val="0"/>
          <w:w w:val="100"/>
          <w:shd w:fill="auto" w:val="clear"/>
          <w:vertAlign w:val="superscript"/>
          <w:lang w:val="en-US" w:eastAsia="en-US" w:bidi="en-US"/>
        </w:rPr>
        <w:t>Die richtige Tat aus dem falschen Grund zu tun.557</w:t>
      </w:r>
    </w:p>
    <w:p>
      <w:pPr>
        <w:pStyle w:val="Flietext21"/>
        <w:keepNext w:val="false"/>
        <w:keepLines w:val="false"/>
        <w:widowControl w:val="false"/>
        <w:numPr>
          <w:ilvl w:val="0"/>
          <w:numId w:val="50"/>
        </w:numPr>
        <w:shd w:val="clear" w:color="auto" w:fill="auto"/>
        <w:tabs>
          <w:tab w:val="clear" w:pos="720"/>
          <w:tab w:val="left" w:pos="620" w:leader="none"/>
        </w:tabs>
        <w:bidi w:val="0"/>
        <w:spacing w:lineRule="auto" w:line="220" w:before="0" w:after="220"/>
        <w:ind w:left="0" w:right="0" w:firstLine="260"/>
        <w:jc w:val="both"/>
        <w:rPr/>
      </w:pPr>
      <w:r>
        <w:rPr>
          <w:color w:val="000000"/>
          <w:spacing w:val="0"/>
          <w:w w:val="100"/>
          <w:shd w:fill="auto" w:val="clear"/>
          <w:lang w:val="de-DE" w:eastAsia="de-DE" w:bidi="de-DE"/>
        </w:rPr>
        <w:t>Thomas Hill Green, „Vortrag über liberale Gesetzgebung und Vertragsfreiheit“, aus Works of T.H. Grün, Hrsg. von J. Nettleship (London: Longmans, Green &amp; Co. Ltd., 1906), Bd. III, S. 365-386, passim.</w:t>
      </w:r>
    </w:p>
    <w:p>
      <w:pPr>
        <w:pStyle w:val="Flietext1"/>
        <w:keepNext w:val="false"/>
        <w:keepLines w:val="false"/>
        <w:widowControl w:val="false"/>
        <w:shd w:val="clear" w:color="auto" w:fill="auto"/>
        <w:bidi w:val="0"/>
        <w:spacing w:before="0" w:after="260"/>
        <w:ind w:left="0" w:right="0" w:hanging="0"/>
        <w:jc w:val="both"/>
        <w:rPr/>
      </w:pPr>
      <w:r>
        <w:rPr>
          <w:color w:val="000000"/>
          <w:spacing w:val="0"/>
          <w:w w:val="100"/>
          <w:shd w:fill="auto" w:val="clear"/>
          <w:lang w:val="de-DE" w:eastAsia="de-DE" w:bidi="de-DE"/>
        </w:rPr>
        <w:t>Einen Mann oder eine Gesellschaft von Männern moralisch zu machen, ist keine Frage des Erzwingens von Handlungen durch die Beseitigung von Alternativen durch Polizeistaatsautoritarismus. Nur wenn die Wahl in Übereinstimmung mit dem eigenen Pflichtgefühl des Einzelnen frei getroffen wird, kann die Handlung moralisch sein, also kann nur ein Individuum in einer freien Gesellschaft Moral erlangen. Der Einfluss von Kant zeigt sich in Greens Postulation einer kantischen Utopie, in der alle aus reiner Pflicht als Ziel sowohl des Staates als auch des Menschen handeln.558 Die Rechtfertigung für die Verabschiedung von Gesetzen zum Verbot von Kinderarbeit besteht nicht darin, dass die Passage diejenigen moralisch macht, die es getan hätten angestellte Kinder und werden nur durch das Gesetz abgeschreckt; vielmehr schafft eine solche Gesetzgebung für viele Kinder die Bedingungen der menschlichen Entwicklung, die sie selbst nicht hätten aufrechterhalten können.</w:t>
      </w:r>
    </w:p>
    <w:p>
      <w:pPr>
        <w:pStyle w:val="Flietext1"/>
        <w:keepNext w:val="false"/>
        <w:keepLines w:val="false"/>
        <w:widowControl w:val="false"/>
        <w:shd w:val="clear" w:color="auto" w:fill="auto"/>
        <w:bidi w:val="0"/>
        <w:spacing w:lineRule="auto" w:line="189" w:before="0" w:after="0"/>
        <w:ind w:left="0" w:right="0" w:firstLine="240"/>
        <w:jc w:val="left"/>
        <w:rPr>
          <w:sz w:val="22"/>
          <w:szCs w:val="22"/>
        </w:rPr>
      </w:pPr>
      <w:r>
        <w:rPr>
          <w:color w:val="000000"/>
          <w:spacing w:val="0"/>
          <w:w w:val="100"/>
          <w:sz w:val="22"/>
          <w:szCs w:val="22"/>
          <w:shd w:fill="auto" w:val="clear"/>
          <w:lang w:val="de-DE" w:eastAsia="de-DE" w:bidi="de-DE"/>
        </w:rPr>
        <w:t>555 Ebd.</w:t>
      </w:r>
    </w:p>
    <w:p>
      <w:pPr>
        <w:pStyle w:val="Flietext21"/>
        <w:keepNext w:val="false"/>
        <w:keepLines w:val="false"/>
        <w:widowControl w:val="false"/>
        <w:numPr>
          <w:ilvl w:val="0"/>
          <w:numId w:val="51"/>
        </w:numPr>
        <w:shd w:val="clear" w:color="auto" w:fill="auto"/>
        <w:tabs>
          <w:tab w:val="clear" w:pos="720"/>
          <w:tab w:val="left" w:pos="659" w:leader="none"/>
        </w:tabs>
        <w:bidi w:val="0"/>
        <w:spacing w:lineRule="auto" w:line="189" w:before="0" w:after="0"/>
        <w:ind w:left="0" w:right="0" w:firstLine="260"/>
        <w:jc w:val="both"/>
        <w:rPr/>
      </w:pPr>
      <w:r>
        <w:rPr>
          <w:color w:val="000000"/>
          <w:spacing w:val="0"/>
          <w:w w:val="100"/>
          <w:shd w:fill="auto" w:val="clear"/>
          <w:lang w:val="de-DE" w:eastAsia="de-DE" w:bidi="de-DE"/>
        </w:rPr>
        <w:t>Grün, Politische Verpflichtung, Abschnitt Nr. 2.</w:t>
      </w:r>
    </w:p>
    <w:p>
      <w:pPr>
        <w:pStyle w:val="Flietext21"/>
        <w:keepNext w:val="false"/>
        <w:keepLines w:val="false"/>
        <w:widowControl w:val="false"/>
        <w:numPr>
          <w:ilvl w:val="0"/>
          <w:numId w:val="51"/>
        </w:numPr>
        <w:shd w:val="clear" w:color="auto" w:fill="auto"/>
        <w:tabs>
          <w:tab w:val="clear" w:pos="720"/>
          <w:tab w:val="left" w:pos="625" w:leader="none"/>
        </w:tabs>
        <w:bidi w:val="0"/>
        <w:spacing w:lineRule="auto" w:line="213" w:before="0" w:after="220"/>
        <w:ind w:left="0" w:right="0" w:firstLine="260"/>
        <w:jc w:val="both"/>
        <w:rPr/>
      </w:pPr>
      <w:r>
        <w:rPr>
          <w:color w:val="000000"/>
          <w:spacing w:val="0"/>
          <w:w w:val="100"/>
          <w:shd w:fill="auto" w:val="clear"/>
          <w:lang w:val="de-DE" w:eastAsia="de-DE" w:bidi="de-DE"/>
        </w:rPr>
        <w:t>Zitiert ohne weitere Quellenangabe in Martin Luther King Jr., Why We Can't Wait (New York: The New American Library, 1964), S. 93.</w:t>
      </w:r>
    </w:p>
    <w:p>
      <w:pPr>
        <w:pStyle w:val="Flietext1"/>
        <w:keepNext w:val="false"/>
        <w:keepLines w:val="false"/>
        <w:widowControl w:val="false"/>
        <w:shd w:val="clear" w:color="auto" w:fill="auto"/>
        <w:bidi w:val="0"/>
        <w:spacing w:before="0" w:after="260"/>
        <w:ind w:left="0" w:right="0" w:firstLine="260"/>
        <w:jc w:val="both"/>
        <w:rPr/>
      </w:pPr>
      <w:r>
        <w:rPr>
          <w:color w:val="000000"/>
          <w:spacing w:val="0"/>
          <w:w w:val="100"/>
          <w:shd w:fill="auto" w:val="clear"/>
          <w:vertAlign w:val="superscript"/>
          <w:lang w:val="en-US" w:eastAsia="en-US" w:bidi="en-US"/>
        </w:rPr>
        <w:t>Aber Green zieht scharf und ziemlich früh die Grenze bezüglich dieser positiven Freiheit. Er wendet sich gegen Gesetze, die „die Entwicklung der moralischen Disposition aufhalten“, wie das Armengesetz, „das der Ausübung elterlicher Voraussicht, kindlicher Ehrfurcht und Nächstenliebe die Gelegenheit nimmt.“559 Diese Ablehnung staatlicher Bevormundung deutet auf eine merkwürdige Art hin des Laissez-faire, das nicht befürwortet wird, weil das Ergebnis der Ausübung dieser Freiheit zwangsläufig gut sein muss, sondern weil die Alternative moralischen Fortschritt ausschließt. Aber was ist der Grund für die Unterscheidung zwischen diesen Handlungen und Greens Konzept der „positiven“ Freiheit, definiert als „eine positive Kraft oder Fähigkeit, etwas zu tun oder zu genießen, das es wert ist, getan oder genossen zu werden.“560 Es war dieses Konzept, das Green dazu veranlasste, die Verbot von Kinderarbeit (wie oben), gesetzliche Einschränkung der Vertragsfreiheit561 und obligatorische Maßnahmen im Bereich Bildung und öffentliche Gesundheit.562 Doch obwohl Richter563 darauf besteht, dass Green sich der demoralisierenden Aspekte der Armut als Hindernis für die moralische Entwicklung bewusst war, ist das Konzept „positiv Freiheit“ erstreckt sich nicht auf die Armengesetzgebung. Die implizite Unterscheidung ist schön, aber nicht unlogisch. Einschränkungen der Vertragsfreiheit sind gerechtfertigt, weil manche Personen (z. B. aufgrund von Armut) in einer solchen Situation sein können, dass sie ihre eigenen Rechte und Interessen, definiert als Fähigkeiten und Mittel zur menschlichen Entwicklung, nicht wirksam schützen können. Daher werden solche Menschen und andere, die versucht sein könnten, ihre Schwäche auszunutzen, daran gehindert, das zu tun, was falsch wäre – falsch, weil es diesen Personen ihr Recht auf Bedingungen verweigert, die eine volle moralische Entwicklung ermöglichen. Wenn es jedoch nicht darum geht, Unmoral in solchen Begriffen zu verbieten, sondern moralisches Handeln durch Armengesetze positiv zu fordern, kehrt Green zurück. Der Einzelne kann daran gehindert werden, das zu tun, was die moralische Entwicklung von ihm selbst oder anderen ausschließt; er kann nicht gezwungen werden, das zu tun, was moralisch ist. Green ist bereit zu argumentieren, dass diejenigen, die aufgrund ihres Pflichtgefühls ohnehin auf Unmoral verzichten würden, nicht aufhören, voll und ganz moralisch zu sein, weil andere aus Angst vor rechtlicher Bestrafung auf solche Handlungen verzichten; dennoch ist er nicht bereit zu argumentieren, dass diejenigen, die „elterliche Voraussicht“ und so weiter an den Tag legen, nicht durch Gesetze daran gehindert werden, die solche Handlungen jedem auferlegen. 564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21"/>
        <w:keepNext w:val="false"/>
        <w:keepLines w:val="false"/>
        <w:widowControl w:val="false"/>
        <w:numPr>
          <w:ilvl w:val="0"/>
          <w:numId w:val="51"/>
        </w:numPr>
        <w:shd w:val="clear" w:color="auto" w:fill="auto"/>
        <w:tabs>
          <w:tab w:val="clear" w:pos="720"/>
          <w:tab w:val="left" w:pos="639" w:leader="none"/>
        </w:tabs>
        <w:bidi w:val="0"/>
        <w:spacing w:lineRule="auto" w:line="189" w:before="0" w:after="0"/>
        <w:ind w:left="0" w:right="0" w:firstLine="240"/>
        <w:jc w:val="left"/>
        <w:rPr/>
      </w:pPr>
      <w:r>
        <w:rPr>
          <w:color w:val="000000"/>
          <w:spacing w:val="0"/>
          <w:w w:val="100"/>
          <w:shd w:fill="auto" w:val="clear"/>
          <w:lang w:val="en-US" w:eastAsia="en-US" w:bidi="en-US"/>
        </w:rPr>
        <w:t>Grün, Politische Verpflichtung, Abschnitt Nr. 7 und 9.</w:t>
      </w:r>
    </w:p>
    <w:p>
      <w:pPr>
        <w:pStyle w:val="Flietext21"/>
        <w:keepNext w:val="false"/>
        <w:keepLines w:val="false"/>
        <w:widowControl w:val="false"/>
        <w:numPr>
          <w:ilvl w:val="0"/>
          <w:numId w:val="51"/>
        </w:numPr>
        <w:shd w:val="clear" w:color="auto" w:fill="auto"/>
        <w:tabs>
          <w:tab w:val="clear" w:pos="720"/>
          <w:tab w:val="left" w:pos="639" w:leader="none"/>
        </w:tabs>
        <w:bidi w:val="0"/>
        <w:spacing w:lineRule="auto" w:line="189" w:before="0" w:after="0"/>
        <w:ind w:left="0" w:right="0" w:firstLine="240"/>
        <w:jc w:val="both"/>
        <w:rPr/>
      </w:pPr>
      <w:r>
        <w:rPr>
          <w:color w:val="000000"/>
          <w:spacing w:val="0"/>
          <w:w w:val="100"/>
          <w:shd w:fill="auto" w:val="clear"/>
          <w:lang w:val="en-US" w:eastAsia="en-US" w:bidi="en-US"/>
        </w:rPr>
        <w:t>Ebenda, Abschnitt #17.</w:t>
      </w:r>
    </w:p>
    <w:p>
      <w:pPr>
        <w:pStyle w:val="Flietext21"/>
        <w:keepNext w:val="false"/>
        <w:keepLines w:val="false"/>
        <w:widowControl w:val="false"/>
        <w:numPr>
          <w:ilvl w:val="0"/>
          <w:numId w:val="51"/>
        </w:numPr>
        <w:shd w:val="clear" w:color="auto" w:fill="auto"/>
        <w:tabs>
          <w:tab w:val="clear" w:pos="720"/>
          <w:tab w:val="left" w:pos="659" w:leader="none"/>
        </w:tabs>
        <w:bidi w:val="0"/>
        <w:spacing w:lineRule="auto" w:line="189" w:before="0" w:after="0"/>
        <w:ind w:left="0" w:right="0" w:firstLine="260"/>
        <w:jc w:val="both"/>
        <w:rPr/>
      </w:pPr>
      <w:r>
        <w:rPr>
          <w:color w:val="000000"/>
          <w:spacing w:val="0"/>
          <w:w w:val="100"/>
          <w:shd w:fill="auto" w:val="clear"/>
          <w:lang w:val="en-US" w:eastAsia="en-US" w:bidi="en-US"/>
        </w:rPr>
        <w:t>Ebd., p. 141.</w:t>
      </w:r>
    </w:p>
    <w:p>
      <w:pPr>
        <w:pStyle w:val="Flietext21"/>
        <w:keepNext w:val="false"/>
        <w:keepLines w:val="false"/>
        <w:widowControl w:val="false"/>
        <w:numPr>
          <w:ilvl w:val="0"/>
          <w:numId w:val="51"/>
        </w:numPr>
        <w:shd w:val="clear" w:color="auto" w:fill="auto"/>
        <w:tabs>
          <w:tab w:val="clear" w:pos="720"/>
          <w:tab w:val="left" w:pos="625" w:leader="none"/>
        </w:tabs>
        <w:bidi w:val="0"/>
        <w:spacing w:lineRule="auto" w:line="213" w:before="0" w:after="200"/>
        <w:ind w:left="0" w:right="0" w:firstLine="260"/>
        <w:jc w:val="both"/>
        <w:rPr/>
      </w:pPr>
      <w:r>
        <w:rPr>
          <w:color w:val="000000"/>
          <w:spacing w:val="0"/>
          <w:w w:val="100"/>
          <w:shd w:fill="auto" w:val="clear"/>
          <w:lang w:val="en-US" w:eastAsia="en-US" w:bidi="en-US"/>
        </w:rPr>
        <w:t>George H. Sabine, A History of Political Theory (3. Auflage) (London: George C. Ha.rra.p &amp; Co. Ltd., 1963), p. 729.</w:t>
      </w:r>
    </w:p>
    <w:p>
      <w:pPr>
        <w:pStyle w:val="Flietext1"/>
        <w:keepNext w:val="false"/>
        <w:keepLines w:val="false"/>
        <w:widowControl w:val="false"/>
        <w:shd w:val="clear" w:color="auto" w:fill="auto"/>
        <w:bidi w:val="0"/>
        <w:spacing w:before="0" w:after="260"/>
        <w:ind w:left="0" w:right="0" w:firstLine="260"/>
        <w:jc w:val="both"/>
        <w:rPr/>
      </w:pPr>
      <w:r>
        <w:rPr>
          <w:color w:val="000000"/>
          <w:spacing w:val="0"/>
          <w:w w:val="100"/>
          <w:shd w:fill="auto" w:val="clear"/>
          <w:lang w:val="en-US" w:eastAsia="en-US" w:bidi="en-US"/>
        </w:rPr>
        <w:t>Eine wichtige Tatsache des Menschenbildes von Green ist daher, dass der Mensch ein gewisses Potenzial zur moralischen Entwicklung hat, das bestimmte Bedingungen erfordert, um aktiviert zu werden; ein zweites ist, dass das Selbst ein soziales Selbst ist und der Mensch nur innerhalb der Gesellschaft Mensch sein kann. Die Rechte, die der Mensch besitzt, hat er nicht als atomistische Einheit, sondern als Mitglied einer sozialen Gruppe; daher Greens Einwand gegen die klassische Definition von „natürlichen Rechten“ als jene Rechte, die dem Menschen in einem Naturzustand zustehen565, und seine eigene Neudefinition des Begriffs, um ihm eine teleologische Betonung zu verleihen.566 Rechte an Green leiten sich von sozialen Beziehungen ab, und Da die Sprache selbst das Bestehen sozialer Beziehungen voraussetzt, impliziert der einfache Sprachgebrauch einen Anspruch auf Rechte. Daher sein Einwand gegen die Sklaverei: Der Sklave genießt soziale Beziehungen zu anderen Sklaven und zu seinen eigenen und „leitet aus seinen sozialen Beziehungen ein reales Recht ab, das das Gesetz des Staates nicht zugestehen will.“567 Die Tatsache sozialer Beziehungen ist die Grundlage dafür Rechte, und es gibt keinen Unterschied zwischen den Arten sozialer Beziehungen.</w:t>
      </w:r>
    </w:p>
    <w:p>
      <w:pPr>
        <w:pStyle w:val="Flietext1"/>
        <w:keepNext w:val="false"/>
        <w:keepLines w:val="false"/>
        <w:widowControl w:val="false"/>
        <w:shd w:val="clear" w:color="auto" w:fill="auto"/>
        <w:bidi w:val="0"/>
        <w:spacing w:before="0" w:after="260"/>
        <w:ind w:left="240" w:right="0" w:firstLine="380"/>
        <w:jc w:val="both"/>
        <w:rPr/>
      </w:pPr>
      <w:r>
        <w:rPr>
          <w:color w:val="000000"/>
          <w:spacing w:val="0"/>
          <w:w w:val="100"/>
          <w:shd w:fill="auto" w:val="clear"/>
          <w:lang w:val="en-US" w:eastAsia="en-US" w:bidi="en-US"/>
        </w:rPr>
        <w:t>Nun, da die Fähigkeit, in einer bestimmten begrenzten Gemeinschaft mit einer bestimmten begrenzten Anzahl von Menschen zu leben, an der der Sklave nicht gehindert werden kann, im Prinzip eine Fähigkeit ist, in Gemeinschaft mit beliebigen anderen Menschen zu leben, die notwendige Ausbildung vorausgesetzt erlaubt; und da jede solche Fähigkeit ein Recht darstellt, sind wir berechtigt zu sagen, dass der Sklave ein Recht auf Staatsbürgerschaft hat, auf eine anerkannte Freiheitsgleichheit mit jedem, mit dem er zu tun hat.568 (Hervorhebung hinzugefügt)</w:t>
      </w:r>
    </w:p>
    <w:p>
      <w:pPr>
        <w:pStyle w:val="Flietext21"/>
        <w:keepNext w:val="false"/>
        <w:keepLines w:val="false"/>
        <w:widowControl w:val="false"/>
        <w:numPr>
          <w:ilvl w:val="0"/>
          <w:numId w:val="51"/>
        </w:numPr>
        <w:shd w:val="clear" w:color="auto" w:fill="auto"/>
        <w:tabs>
          <w:tab w:val="clear" w:pos="720"/>
          <w:tab w:val="left" w:pos="639" w:leader="none"/>
        </w:tabs>
        <w:bidi w:val="0"/>
        <w:spacing w:lineRule="auto" w:line="213" w:before="0" w:after="0"/>
        <w:ind w:left="0" w:right="0" w:firstLine="280"/>
        <w:jc w:val="both"/>
        <w:rPr/>
      </w:pPr>
      <w:r>
        <w:rPr>
          <w:color w:val="000000"/>
          <w:spacing w:val="0"/>
          <w:w w:val="100"/>
          <w:shd w:fill="auto" w:val="clear"/>
          <w:lang w:val="en-US" w:eastAsia="en-US" w:bidi="en-US"/>
        </w:rPr>
        <w:t>Melvin Richter, Die Politik des Gewissens: T.H. Green and His Age (London: Weidenfeld &amp; Nicholson, 1964), p. 238.</w:t>
      </w:r>
    </w:p>
    <w:p>
      <w:pPr>
        <w:pStyle w:val="Flietext21"/>
        <w:keepNext w:val="false"/>
        <w:keepLines w:val="false"/>
        <w:widowControl w:val="false"/>
        <w:numPr>
          <w:ilvl w:val="0"/>
          <w:numId w:val="51"/>
        </w:numPr>
        <w:shd w:val="clear" w:color="auto" w:fill="auto"/>
        <w:tabs>
          <w:tab w:val="clear" w:pos="720"/>
          <w:tab w:val="left" w:pos="693" w:leader="none"/>
        </w:tabs>
        <w:bidi w:val="0"/>
        <w:spacing w:lineRule="auto" w:line="189" w:before="0" w:after="0"/>
        <w:ind w:left="0" w:right="0" w:firstLine="280"/>
        <w:jc w:val="both"/>
        <w:rPr/>
      </w:pPr>
      <w:r>
        <w:rPr>
          <w:color w:val="000000"/>
          <w:spacing w:val="0"/>
          <w:w w:val="100"/>
          <w:shd w:fill="auto" w:val="clear"/>
          <w:lang w:val="en-US" w:eastAsia="en-US" w:bidi="en-US"/>
        </w:rPr>
        <w:t>Grün, Politische Verpflichtung, Abschnitt Nr. 22.</w:t>
      </w:r>
    </w:p>
    <w:p>
      <w:pPr>
        <w:pStyle w:val="Flietext21"/>
        <w:keepNext w:val="false"/>
        <w:keepLines w:val="false"/>
        <w:widowControl w:val="false"/>
        <w:numPr>
          <w:ilvl w:val="0"/>
          <w:numId w:val="51"/>
        </w:numPr>
        <w:shd w:val="clear" w:color="auto" w:fill="auto"/>
        <w:tabs>
          <w:tab w:val="clear" w:pos="720"/>
          <w:tab w:val="left" w:pos="639" w:leader="none"/>
        </w:tabs>
        <w:bidi w:val="0"/>
        <w:spacing w:lineRule="auto" w:line="228" w:before="0" w:after="0"/>
        <w:ind w:left="0" w:right="0" w:firstLine="280"/>
        <w:jc w:val="both"/>
        <w:rPr/>
      </w:pPr>
      <w:r>
        <w:rPr>
          <w:color w:val="000000"/>
          <w:spacing w:val="0"/>
          <w:w w:val="100"/>
          <w:shd w:fill="auto" w:val="clear"/>
          <w:lang w:val="en-US" w:eastAsia="en-US" w:bidi="en-US"/>
        </w:rPr>
        <w:t>Es könnte auch darauf hingewiesen werden, dass sich das von ihm gewählte Beispiel als eine Art Chimäre herausgestellt hat. Tatsächlich wurden sowohl die Sozialhilfe als auch die Altersrentenzahlungen immer auf ein Minimum beschränkt, das kaum mehr als das physische Überleben ermöglichte, und daher sind „elterliche Voraussicht, kindliche Ehrerbietung und nachbarschaftliche Freundlichkeit“ immer noch erforderlich. Solche Bestimmungen haben nicht die Gelegenheit für das Wachstum und die Entwicklung einer moralischen Disposition beseitigt, sondern nur das Elend und den Tod, die aus dem allzu häufigen Versagen vieler Menschen resultieren, eine solche Disposition zu zeigen.</w:t>
      </w:r>
    </w:p>
    <w:p>
      <w:pPr>
        <w:pStyle w:val="Flietext1"/>
        <w:keepNext w:val="false"/>
        <w:keepLines w:val="false"/>
        <w:widowControl w:val="false"/>
        <w:shd w:val="clear" w:color="auto" w:fill="auto"/>
        <w:bidi w:val="0"/>
        <w:spacing w:before="0" w:after="260"/>
        <w:ind w:left="0" w:right="0" w:hanging="0"/>
        <w:jc w:val="both"/>
        <w:rPr/>
      </w:pPr>
      <w:r>
        <w:rPr>
          <w:color w:val="000000"/>
          <w:spacing w:val="0"/>
          <w:w w:val="100"/>
          <w:shd w:fill="auto" w:val="clear"/>
          <w:lang w:val="en-US" w:eastAsia="en-US" w:bidi="en-US"/>
        </w:rPr>
        <w:t>Die Ansprüche weisen ein gewisses Maß an Ungenauigkeit auf; manchmal sind es Rechte als solche, die sich aus sozialen Beziehungen ableiten, und manchmal ist es dieses einzelne Recht gleicher Freiheit. Dies kann übergangen werden; seine Behandlung von Rechten ist verwirrend und undurchsichtig formuliert, reduziert sich aber immer auf die Frage nach dem jeweils für die rational/moralische Weiterentwicklung angemessenen Rechtskomplex. Bedeutsam ist der Versuch, ein Bekenntnis zur menschlichen Gleichheit auf einem Prinzip zu begründen, das logisch vor der menschlichen Gleichheit selbst liegt. Der Versuch weist einige schwerwiegende Mängel auf.</w:t>
      </w:r>
    </w:p>
    <w:p>
      <w:pPr>
        <w:pStyle w:val="Flietext21"/>
        <w:keepNext w:val="false"/>
        <w:keepLines w:val="false"/>
        <w:widowControl w:val="false"/>
        <w:numPr>
          <w:ilvl w:val="0"/>
          <w:numId w:val="51"/>
        </w:numPr>
        <w:shd w:val="clear" w:color="auto" w:fill="auto"/>
        <w:tabs>
          <w:tab w:val="clear" w:pos="720"/>
          <w:tab w:val="left" w:pos="653" w:leader="none"/>
        </w:tabs>
        <w:bidi w:val="0"/>
        <w:spacing w:lineRule="auto" w:line="189" w:before="0" w:after="0"/>
        <w:ind w:left="0" w:right="0" w:firstLine="240"/>
        <w:jc w:val="left"/>
        <w:rPr/>
      </w:pPr>
      <w:r>
        <w:rPr>
          <w:color w:val="000000"/>
          <w:spacing w:val="0"/>
          <w:w w:val="100"/>
          <w:shd w:fill="auto" w:val="clear"/>
          <w:lang w:val="en-US" w:eastAsia="en-US" w:bidi="en-US"/>
        </w:rPr>
        <w:t>Ebenda, Abschnitt #21.</w:t>
      </w:r>
    </w:p>
    <w:p>
      <w:pPr>
        <w:pStyle w:val="Flietext21"/>
        <w:keepNext w:val="false"/>
        <w:keepLines w:val="false"/>
        <w:widowControl w:val="false"/>
        <w:numPr>
          <w:ilvl w:val="0"/>
          <w:numId w:val="51"/>
        </w:numPr>
        <w:shd w:val="clear" w:color="auto" w:fill="auto"/>
        <w:tabs>
          <w:tab w:val="clear" w:pos="720"/>
          <w:tab w:val="left" w:pos="653" w:leader="none"/>
        </w:tabs>
        <w:bidi w:val="0"/>
        <w:spacing w:lineRule="auto" w:line="189" w:before="0" w:after="0"/>
        <w:ind w:left="0" w:right="0" w:firstLine="240"/>
        <w:jc w:val="left"/>
        <w:rPr/>
      </w:pPr>
      <w:r>
        <w:rPr>
          <w:color w:val="000000"/>
          <w:spacing w:val="0"/>
          <w:w w:val="100"/>
          <w:shd w:fill="auto" w:val="clear"/>
          <w:lang w:val="en-US" w:eastAsia="en-US" w:bidi="en-US"/>
        </w:rPr>
        <w:t>Ebenda, Abschnitt #21.</w:t>
      </w:r>
    </w:p>
    <w:p>
      <w:pPr>
        <w:pStyle w:val="Flietext21"/>
        <w:keepNext w:val="false"/>
        <w:keepLines w:val="false"/>
        <w:widowControl w:val="false"/>
        <w:numPr>
          <w:ilvl w:val="0"/>
          <w:numId w:val="51"/>
        </w:numPr>
        <w:shd w:val="clear" w:color="auto" w:fill="auto"/>
        <w:tabs>
          <w:tab w:val="clear" w:pos="720"/>
          <w:tab w:val="left" w:pos="653" w:leader="none"/>
        </w:tabs>
        <w:bidi w:val="0"/>
        <w:spacing w:lineRule="auto" w:line="189" w:before="0" w:after="0"/>
        <w:ind w:left="0" w:right="0" w:firstLine="240"/>
        <w:jc w:val="left"/>
        <w:rPr/>
      </w:pPr>
      <w:r>
        <w:rPr>
          <w:color w:val="000000"/>
          <w:spacing w:val="0"/>
          <w:w w:val="100"/>
          <w:shd w:fill="auto" w:val="clear"/>
          <w:lang w:val="en-US" w:eastAsia="en-US" w:bidi="en-US"/>
        </w:rPr>
        <w:t>Ebenda, Abschnitt #140.</w:t>
      </w:r>
    </w:p>
    <w:p>
      <w:pPr>
        <w:pStyle w:val="Flietext21"/>
        <w:keepNext w:val="false"/>
        <w:keepLines w:val="false"/>
        <w:widowControl w:val="false"/>
        <w:numPr>
          <w:ilvl w:val="0"/>
          <w:numId w:val="51"/>
        </w:numPr>
        <w:shd w:val="clear" w:color="auto" w:fill="auto"/>
        <w:tabs>
          <w:tab w:val="clear" w:pos="720"/>
          <w:tab w:val="left" w:pos="653" w:leader="none"/>
        </w:tabs>
        <w:bidi w:val="0"/>
        <w:spacing w:lineRule="auto" w:line="189" w:before="0" w:after="200"/>
        <w:ind w:left="0" w:right="0" w:firstLine="240"/>
        <w:jc w:val="left"/>
        <w:rPr/>
      </w:pPr>
      <w:r>
        <w:rPr>
          <w:i/>
          <w:iCs/>
          <w:color w:val="000000"/>
          <w:spacing w:val="0"/>
          <w:w w:val="100"/>
          <w:shd w:fill="auto" w:val="clear"/>
          <w:lang w:val="en-US" w:eastAsia="en-US" w:bidi="en-US"/>
        </w:rPr>
        <w:t>ebenda,</w:t>
      </w:r>
    </w:p>
    <w:p>
      <w:pPr>
        <w:pStyle w:val="Flietext1"/>
        <w:keepNext w:val="false"/>
        <w:keepLines w:val="false"/>
        <w:widowControl w:val="false"/>
        <w:shd w:val="clear" w:color="auto" w:fill="auto"/>
        <w:bidi w:val="0"/>
        <w:spacing w:before="0" w:after="300"/>
        <w:ind w:left="0" w:right="0" w:firstLine="280"/>
        <w:jc w:val="both"/>
        <w:rPr/>
      </w:pPr>
      <w:r>
        <w:rPr>
          <w:color w:val="000000"/>
          <w:spacing w:val="0"/>
          <w:w w:val="100"/>
          <w:shd w:fill="auto" w:val="clear"/>
          <w:lang w:val="en-US" w:eastAsia="en-US" w:bidi="en-US"/>
        </w:rPr>
        <w:t>Erstens scheint es seltsam, gleiche Rechte (oder gleiche Freiheit) auf die bloße Tatsache sozialer Beziehungen zu stützen, da soziale Beziehungen notorisch (wenn nicht sogar wesentlich) ungleich sind. Konrad Lorenz,569 Desmond Morris570 und Robert Ardrey571 haben das Leben vieler Tiere ausgiebig studiert und in derzeit hochaktuellen Werken behauptet, dass Interaktion im Tierreich fast immer Hierarchie bedeutet, also systematisch und regelmäßige Unterordnung und Ungleichheit. Sie sind zu dem Schluss gekommen, dass Ungleichheit ein Naturgesetz und Gleichheit, wenn schon keine Chimäre, so doch zumindest höchst unnatürlich ist. Es ist wahr, dass sie ihre Schlussfolgerungen erschreckend leichtfertig auf den Menschen übertragen, obwohl ihre Studien nicht völlig irrelevant oder völlig ignoriert werden können – was immer der Mensch auch sein mag, er ist auch ein Mitglied des Tierreiches. Auch in der Menschheitsgeschichte scheinen sich Ungleichheitsrechte statt Gleichberechtigung aus sozialen Beziehungen abzuleiten, ob die Einheit Familie, Stamm oder Nation ist. Greens vage Behandlung dieses Themas deutet darauf hin, dass er sich hier der von Richter so beklagten a priori-Haltung schuldig macht; Wenn ferner das Recht eines Individuums auf gleiche Freiheit ohne weiteres Argument aus der nackten Tatsache folgt, dass es in einer menschlichen Gemeinschaft lebt und soziale Beziehungen genießt, dann können Kindern, Kriminellen und Idioten die vollen Rechte nicht verweigert werden, eine merkwürdige Umkehrung des Themas des Rationalismus. (Bernard Williams erwähnt in „The Ideal of Equality“572 „die klinischen Fälle von Menschen, die verrückt oder geistig behindert sind, die immer eine besondere Ausnahme von dem darstellen, was im Allgemeinen für Männer gilt. “ Dieser traditionelle Ausschluss kann im Fall von Green nicht so automatisch sein, denn seine Gleichheit beruht nicht auf der Rationalität der Männer, sondern auf ihrer Geselligkeit, und einer der herzzerreißendsten Aspekte der geistig Behinderten ist, dass sie die Fähigkeit behalten, wirklich soziales zu bilden Beziehungen. )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21"/>
        <w:keepNext w:val="false"/>
        <w:keepLines w:val="false"/>
        <w:widowControl w:val="false"/>
        <w:numPr>
          <w:ilvl w:val="0"/>
          <w:numId w:val="51"/>
        </w:numPr>
        <w:shd w:val="clear" w:color="auto" w:fill="auto"/>
        <w:tabs>
          <w:tab w:val="clear" w:pos="720"/>
          <w:tab w:val="left" w:pos="639" w:leader="none"/>
        </w:tabs>
        <w:bidi w:val="0"/>
        <w:spacing w:lineRule="auto" w:line="189" w:before="0" w:after="0"/>
        <w:ind w:left="0" w:right="0" w:firstLine="240"/>
        <w:jc w:val="left"/>
        <w:rPr/>
      </w:pPr>
      <w:r>
        <w:rPr>
          <w:i/>
          <w:iCs/>
          <w:color w:val="000000"/>
          <w:spacing w:val="0"/>
          <w:w w:val="100"/>
          <w:shd w:fill="auto" w:val="clear"/>
          <w:lang w:val="en-US" w:eastAsia="en-US" w:bidi="en-US"/>
        </w:rPr>
        <w:t>Konrad Lorenz, On Aggression.</w:t>
      </w:r>
    </w:p>
    <w:p>
      <w:pPr>
        <w:pStyle w:val="Flietext21"/>
        <w:keepNext w:val="false"/>
        <w:keepLines w:val="false"/>
        <w:widowControl w:val="false"/>
        <w:numPr>
          <w:ilvl w:val="0"/>
          <w:numId w:val="51"/>
        </w:numPr>
        <w:shd w:val="clear" w:color="auto" w:fill="auto"/>
        <w:tabs>
          <w:tab w:val="clear" w:pos="720"/>
          <w:tab w:val="left" w:pos="639" w:leader="none"/>
        </w:tabs>
        <w:bidi w:val="0"/>
        <w:spacing w:lineRule="auto" w:line="189" w:before="0" w:after="0"/>
        <w:ind w:left="0" w:right="0" w:firstLine="240"/>
        <w:jc w:val="left"/>
        <w:rPr/>
      </w:pPr>
      <w:r>
        <w:rPr>
          <w:i/>
          <w:iCs/>
          <w:color w:val="000000"/>
          <w:spacing w:val="0"/>
          <w:w w:val="100"/>
          <w:shd w:fill="auto" w:val="clear"/>
          <w:lang w:val="en-US" w:eastAsia="en-US" w:bidi="en-US"/>
        </w:rPr>
        <w:t>Desmond Morris, Der nackte Affe, Der menschliche Zoo.</w:t>
      </w:r>
    </w:p>
    <w:p>
      <w:pPr>
        <w:pStyle w:val="Flietext21"/>
        <w:keepNext w:val="false"/>
        <w:keepLines w:val="false"/>
        <w:widowControl w:val="false"/>
        <w:numPr>
          <w:ilvl w:val="0"/>
          <w:numId w:val="51"/>
        </w:numPr>
        <w:shd w:val="clear" w:color="auto" w:fill="auto"/>
        <w:tabs>
          <w:tab w:val="clear" w:pos="720"/>
          <w:tab w:val="left" w:pos="639" w:leader="none"/>
        </w:tabs>
        <w:bidi w:val="0"/>
        <w:spacing w:lineRule="auto" w:line="189" w:before="0" w:after="0"/>
        <w:ind w:left="0" w:right="0" w:firstLine="240"/>
        <w:jc w:val="left"/>
        <w:rPr/>
      </w:pPr>
      <w:r>
        <w:rPr>
          <w:i/>
          <w:iCs/>
          <w:color w:val="000000"/>
          <w:spacing w:val="0"/>
          <w:w w:val="100"/>
          <w:shd w:fill="auto" w:val="clear"/>
          <w:lang w:val="en-US" w:eastAsia="en-US" w:bidi="en-US"/>
        </w:rPr>
        <w:t>Robert Ardrey, African Genesis, The Territorial Imperative.</w:t>
      </w:r>
    </w:p>
    <w:p>
      <w:pPr>
        <w:pStyle w:val="Flietext21"/>
        <w:keepNext w:val="false"/>
        <w:keepLines w:val="false"/>
        <w:widowControl w:val="false"/>
        <w:numPr>
          <w:ilvl w:val="0"/>
          <w:numId w:val="51"/>
        </w:numPr>
        <w:shd w:val="clear" w:color="auto" w:fill="auto"/>
        <w:tabs>
          <w:tab w:val="clear" w:pos="720"/>
          <w:tab w:val="left" w:pos="620" w:leader="none"/>
        </w:tabs>
        <w:bidi w:val="0"/>
        <w:spacing w:lineRule="auto" w:line="213" w:before="0" w:after="200"/>
        <w:ind w:left="0" w:right="0" w:firstLine="260"/>
        <w:jc w:val="both"/>
        <w:rPr/>
      </w:pPr>
      <w:r>
        <w:rPr>
          <w:color w:val="000000"/>
          <w:spacing w:val="0"/>
          <w:w w:val="100"/>
          <w:shd w:fill="auto" w:val="clear"/>
          <w:lang w:val="en-US" w:eastAsia="en-US" w:bidi="en-US"/>
        </w:rPr>
        <w:t>Bernard Williams, „The Idea of ​​Equality“, in Philosophy, Politics and Society, hrsg. von Peter Laslett und W. G. Runciman (2. Reihe) (Oxford: Blackwell, 1964).</w:t>
      </w:r>
    </w:p>
    <w:p>
      <w:pPr>
        <w:pStyle w:val="Flietext1"/>
        <w:keepNext w:val="false"/>
        <w:keepLines w:val="false"/>
        <w:widowControl w:val="false"/>
        <w:shd w:val="clear" w:color="auto" w:fill="auto"/>
        <w:bidi w:val="0"/>
        <w:spacing w:before="0" w:after="0"/>
        <w:ind w:left="0" w:right="0" w:firstLine="260"/>
        <w:jc w:val="both"/>
        <w:rPr/>
      </w:pPr>
      <w:r>
        <w:rPr>
          <w:color w:val="000000"/>
          <w:spacing w:val="0"/>
          <w:w w:val="100"/>
          <w:shd w:fill="auto" w:val="clear"/>
          <w:lang w:val="en-US" w:eastAsia="en-US" w:bidi="en-US"/>
        </w:rPr>
        <w:t>Zweitens erscheint Greens Diskussion der Sklaverei manchmal etwas oberflächlich. Es sollte beachtet werden, dass ein Sklave in den meisten Systemen der Sklaverei nicht rechtlos ist. Ein Richter aus Tennessee stellte fest, dass „ein Sklave geistige Fähigkeiten und ein unsterbliches Prinzip in seiner Natur hat“568 und fügte hinzu, dass die Gesetze „seine hochgeborene Natur nicht auslöschten noch ihm viele Rechte vorenthielten, die dem Menschen innewohnen.“569 Ein Gericht in Mississippi argumentierte dass der Sklave „immer noch ein Mensch ist und all jene Rechte besitzt, die ihm nicht durch die positiven Bestimmungen des Gesetzes entzogen werden.“570 Daher kann nicht einfach gesagt werden, dass ein Sklave seiner Rechte beraubt wurde, wie er bestimmtes behielt Rechte auch als Sklave; der Sklave blieb ein Mensch und wurde nicht auf den Status eines Tieres reduziert. Greens Behauptung wird so zum Beharren auf der Notwendigkeit der Gleichberechtigung aller Menschen in einer bestimmten Gesellschaft.</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Aber auch das bringt Schwierigkeiten mit sich, die sich in Greens eigener Terminologie ausdrücken lassen. Das Wichtige an Rechten ist ihre Angemessenheit für das jeweilige Niveau, das von einer bestimmten Person oder Gruppe erreicht wird. Die Rechte, die einem Ureinwohnerstamm angemessen sind, sind einem viktorianischen Engländer des 19. Jahrhunderts nicht angemessen; Obwohl der Aborigine also die Fähigkeit demonstriert, in einer menschlichen Gemeinschaft zu leben, begründet er damit keinen Anspruch auf die Rechte eines viktorianischen Engländers, da diese Rechte seinem Niveau nicht angemessen sind. Innerhalb einer Gemeinschaft ist dies die Grundlage dafür, Kindern bestimmte Rechte zu verweigern, die sie als Erwachsene genießen werden, mit der Begründung, dass sie nicht die Ebene der Rationalität erreicht haben, auf der solche Rechte für sie angemessen sind. Hier wird die Frage der Sklaverei interessanter, „die Minderwertigkeit der Rasse“573 574 575 568 insofern, als Neger nicht in der Lage waren, für sich selbst zu sorgen, und ein Sklaverei-Gelehrter argumentierte, dass „die Lernfähigkeit des Neger-Erwachsenen waren denen eines weißen Säuglings ebenbürtig.“569 Solche Behauptungen müssen nicht nur als quälende Rationalisierung und tollwütiger Rassismus angesehen werden (obwohl Elemente von beidem wahrscheinlich vorhanden waren), da Stanley Elkins argumentiert, dass solche Behauptungen ein Element der Tatsachengrundlage enthielten dass die Institution der Sklaverei sehr wohl zu einer extremen Infantilisierung unter den Sklaven geführt haben könnte,578 eine Auswirkung der Sklaverei und somit zu ihrer Rechtfertigung wird. Wenn plausibel dargestellt werden könnte, dass ein Sklave ein anderes Rationalitätsniveau erreicht hat als weiße Bürger, dann scheint Greens eigenes Argument darauf hinzudeuten, dass unterschiedliche Rechte gerechtfertigt sind, da derselbe Rechtskomplex nicht zwei verschiedenen Rationalitätsniveaus angemessen sein kann ; es würde auch nicht den geringsten Unterschied machen, dass beide Gruppen in gewissem abstraktem Sinne ähnliche Kapazitäten für maximale moralische/rationale Leistung hätten. Greens Angriff auf die Sklaverei hat den beunruhigenden Effekt, dass er sein eigenes Beharren auf der fortschreitenden Natur des Menschen, der Rechte und der Gesellschaft und der Angemessenheit verschiedener Rechte in verschiedenen Stadien aufhebt.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1"/>
        <w:keepNext w:val="false"/>
        <w:keepLines w:val="false"/>
        <w:widowControl w:val="false"/>
        <w:shd w:val="clear" w:color="auto" w:fill="auto"/>
        <w:bidi w:val="0"/>
        <w:spacing w:before="0" w:after="280"/>
        <w:ind w:left="0" w:right="0" w:firstLine="280"/>
        <w:jc w:val="both"/>
        <w:rPr/>
      </w:pPr>
      <w:r>
        <w:rPr>
          <w:color w:val="000000"/>
          <w:spacing w:val="0"/>
          <w:w w:val="100"/>
          <w:shd w:fill="auto" w:val="clear"/>
          <w:lang w:val="en-US" w:eastAsia="en-US" w:bidi="en-US"/>
        </w:rPr>
        <w:t>Drittens ist die einfache Dichotomie Sklave/Freier irreführend, insbesondere insofern die Verteidiger der Sklaverei darauf bestanden, dass es nicht um die Menschlichkeit, Würde oder unsterbliche Seele des Negers ging, was niemand leugnete, sondern nur darum, ob ein Individuum dazu gezwungen werden könne oder nicht ohne seine Zustimmung arbeiten. Dies deutet auf ein Kontinuum mit Sklaverei und Freiheit als extremen Enden hin. Der Status der Sklaverei wird nicht freiwillig gewählt und zwingt eine Person, ohne seine Zustimmung für einen unbestimmten Zeitraum zu arbeiten. Die Wehrpflicht wäre der nächste Punkt auf der Skala – der Status des Wehrpflichtigen wird nicht freiwillig gewählt und zwingt eine Person, ohne seine Zustimmung für eine bestimmte und festgelegte Zeit zu arbeiten. Der dritte Punkt auf der Skala wäre die Position des Vertragsbediensteten, in der der Status freiwillig gewählt wurde und der Einzelne gezwungen ist, ohne seine Zustimmung für einen festgelegten Zeitraum zu arbeiten. Am anderen Ende der Skala steht die Freiheit, dass der Einzelne nicht gezwungen ist, ohne seine eigene Zustimmung zu arbeiten.</w:t>
      </w:r>
    </w:p>
    <w:p>
      <w:pPr>
        <w:pStyle w:val="Flietext21"/>
        <w:keepNext w:val="false"/>
        <w:keepLines w:val="false"/>
        <w:widowControl w:val="false"/>
        <w:numPr>
          <w:ilvl w:val="0"/>
          <w:numId w:val="52"/>
        </w:numPr>
        <w:shd w:val="clear" w:color="auto" w:fill="auto"/>
        <w:tabs>
          <w:tab w:val="clear" w:pos="720"/>
          <w:tab w:val="left" w:pos="639" w:leader="none"/>
        </w:tabs>
        <w:bidi w:val="0"/>
        <w:spacing w:lineRule="auto" w:line="189" w:before="0" w:after="0"/>
        <w:ind w:left="0" w:right="0" w:firstLine="240"/>
        <w:jc w:val="left"/>
        <w:rPr/>
      </w:pPr>
      <w:r>
        <w:rPr>
          <w:color w:val="000000"/>
          <w:spacing w:val="0"/>
          <w:w w:val="100"/>
          <w:shd w:fill="auto" w:val="clear"/>
          <w:lang w:val="en-US" w:eastAsia="en-US" w:bidi="en-US"/>
        </w:rPr>
        <w:t>Stempel, op. cit., p. 194.</w:t>
      </w:r>
    </w:p>
    <w:p>
      <w:pPr>
        <w:pStyle w:val="Flietext21"/>
        <w:keepNext w:val="false"/>
        <w:keepLines w:val="false"/>
        <w:widowControl w:val="false"/>
        <w:numPr>
          <w:ilvl w:val="0"/>
          <w:numId w:val="52"/>
        </w:numPr>
        <w:shd w:val="clear" w:color="auto" w:fill="auto"/>
        <w:tabs>
          <w:tab w:val="clear" w:pos="720"/>
          <w:tab w:val="left" w:pos="639" w:leader="none"/>
        </w:tabs>
        <w:bidi w:val="0"/>
        <w:spacing w:lineRule="auto" w:line="189" w:before="0" w:after="0"/>
        <w:ind w:left="0" w:right="0" w:firstLine="240"/>
        <w:jc w:val="left"/>
        <w:rPr/>
      </w:pPr>
      <w:r>
        <w:rPr>
          <w:color w:val="000000"/>
          <w:spacing w:val="0"/>
          <w:w w:val="100"/>
          <w:shd w:fill="auto" w:val="clear"/>
          <w:lang w:val="en-US" w:eastAsia="en-US" w:bidi="en-US"/>
        </w:rPr>
        <w:t>Franklin, „Der militante Süden“, S. 166.</w:t>
      </w:r>
    </w:p>
    <w:p>
      <w:pPr>
        <w:pStyle w:val="Flietext21"/>
        <w:keepNext w:val="false"/>
        <w:keepLines w:val="false"/>
        <w:widowControl w:val="false"/>
        <w:numPr>
          <w:ilvl w:val="0"/>
          <w:numId w:val="52"/>
        </w:numPr>
        <w:shd w:val="clear" w:color="auto" w:fill="auto"/>
        <w:tabs>
          <w:tab w:val="clear" w:pos="720"/>
          <w:tab w:val="left" w:pos="625" w:leader="none"/>
        </w:tabs>
        <w:bidi w:val="0"/>
        <w:spacing w:lineRule="auto" w:line="213" w:before="0" w:after="220"/>
        <w:ind w:left="0" w:right="0" w:firstLine="280"/>
        <w:jc w:val="both"/>
        <w:rPr/>
      </w:pPr>
      <w:r>
        <w:rPr>
          <w:color w:val="000000"/>
          <w:spacing w:val="0"/>
          <w:w w:val="100"/>
          <w:shd w:fill="auto" w:val="clear"/>
          <w:lang w:val="en-US" w:eastAsia="en-US" w:bidi="en-US"/>
        </w:rPr>
        <w:t>Stanley M. Elkins, „Slavery and Negro Personality“, in Weinstein &amp; Gatell (Hrsg.), American Negro Slavery, S. 234-258, passim.</w:t>
      </w:r>
    </w:p>
    <w:p>
      <w:pPr>
        <w:pStyle w:val="Flietext1"/>
        <w:keepNext w:val="false"/>
        <w:keepLines w:val="false"/>
        <w:widowControl w:val="false"/>
        <w:shd w:val="clear" w:color="auto" w:fill="auto"/>
        <w:bidi w:val="0"/>
        <w:spacing w:before="0" w:after="280"/>
        <w:ind w:left="0" w:right="0" w:firstLine="240"/>
        <w:jc w:val="both"/>
        <w:rPr/>
      </w:pPr>
      <w:r>
        <w:rPr>
          <w:color w:val="000000"/>
          <w:spacing w:val="0"/>
          <w:w w:val="100"/>
          <w:shd w:fill="auto" w:val="clear"/>
          <w:lang w:val="en-US" w:eastAsia="en-US" w:bidi="en-US"/>
        </w:rPr>
        <w:t>Viertens, wie Professor Davis Bryan Davis feststellte,</w:t>
      </w:r>
    </w:p>
    <w:p>
      <w:pPr>
        <w:pStyle w:val="Flietext1"/>
        <w:keepNext w:val="false"/>
        <w:keepLines w:val="false"/>
        <w:widowControl w:val="false"/>
        <w:shd w:val="clear" w:color="auto" w:fill="auto"/>
        <w:bidi w:val="0"/>
        <w:spacing w:lineRule="auto" w:line="240" w:before="0" w:after="280"/>
        <w:ind w:left="240" w:right="0" w:firstLine="380"/>
        <w:jc w:val="left"/>
        <w:rPr/>
      </w:pPr>
      <w:r>
        <w:rPr>
          <w:color w:val="000000"/>
          <w:spacing w:val="0"/>
          <w:w w:val="100"/>
          <w:shd w:fill="auto" w:val="clear"/>
          <w:vertAlign w:val="superscript"/>
          <w:lang w:val="en-US" w:eastAsia="en-US" w:bidi="en-US"/>
        </w:rPr>
        <w:t>Wenn die Sklaverei gegen das natürliche Gesetz der Gleichheit und das göttliche Gesetz der menschlichen Brüderlichkeit verstößt, könnte das nicht auch von der Familie, dem Privateigentum, den sozialen Ordnungen und der Regierung gesagt werden?579</w:t>
      </w:r>
    </w:p>
    <w:p>
      <w:pPr>
        <w:pStyle w:val="Flietext1"/>
        <w:keepNext w:val="false"/>
        <w:keepLines w:val="false"/>
        <w:widowControl w:val="false"/>
        <w:shd w:val="clear" w:color="auto" w:fill="auto"/>
        <w:bidi w:val="0"/>
        <w:spacing w:before="0" w:after="280"/>
        <w:ind w:left="0" w:right="0" w:hanging="0"/>
        <w:jc w:val="both"/>
        <w:rPr/>
      </w:pPr>
      <w:r>
        <w:rPr>
          <w:color w:val="000000"/>
          <w:spacing w:val="0"/>
          <w:w w:val="100"/>
          <w:shd w:fill="auto" w:val="clear"/>
          <w:lang w:val="en-US" w:eastAsia="en-US" w:bidi="en-US"/>
        </w:rPr>
        <w:t>Greens Position ist der des Zauberlehrlings nicht unähnlich; Nachdem er das Prinzip der gleichen Freiheit aufgerufen hat, um die Sklaverei anzuprangern, kann er es nicht unter Kontrolle halten, oder vielmehr, er kann seine Argumentation nur konsequent halten, indem er ignoriert, wohin ihn dieses Prinzip führt. Daher lehnt er das System des Gemeinschaftseigentums wegen „des begrenzten Spielraums für freie moralische Entfaltung, den es den Verbundenen zulässt“ und wegen „der begrenzten Bandbreite moralischer Beziehungen“ ab, die es zulässt580, und er favorisiert Privateigentum, obwohl es „ungleich sein muss. “581 Die unbekümmerte und ziemlich willkürliche Kürzung und Beschneidung seiner Argumentation lässt fast darauf schließen, dass sie ausschließlich auf eine Widerlegung der Sklaverei gerichtet war.</w:t>
      </w:r>
    </w:p>
    <w:p>
      <w:pPr>
        <w:pStyle w:val="Flietext1"/>
        <w:keepNext w:val="false"/>
        <w:keepLines w:val="false"/>
        <w:widowControl w:val="false"/>
        <w:shd w:val="clear" w:color="auto" w:fill="auto"/>
        <w:bidi w:val="0"/>
        <w:spacing w:before="0" w:after="280"/>
        <w:ind w:left="0" w:right="0" w:firstLine="260"/>
        <w:jc w:val="both"/>
        <w:rPr/>
      </w:pPr>
      <w:r>
        <w:rPr>
          <w:color w:val="000000"/>
          <w:spacing w:val="0"/>
          <w:w w:val="100"/>
          <w:shd w:fill="auto" w:val="clear"/>
          <w:lang w:val="en-US" w:eastAsia="en-US" w:bidi="en-US"/>
        </w:rPr>
        <w:t>Es ist nicht ohne Bedeutung, dass Green, als er an anderer Stelle das Problem der Sklaverei diskutierte, den Begriff einer „höchsten Vernunft, die für uns oft dunkel ist, die den Lauf der Angelegenheiten der Menschen regelt“ einführt und anweist, dass keine Gruppe von Menschen dazu in der Lage sein sollte sich auf Kosten der Schwäche anderer zu stärken, da ein solches System „dem Verfall geweiht“ sei.582 Historisch gesehen war die Sklaverei natürlich verfallen und daher schlecht; Privateigentum und die Familie nicht, woraus folgt, dass sie nicht schlecht sind. Letztlich ist das Postulat der Gleichheit der Menschen aus nichts Grundlegenderem abgeleitet, sondern lediglich als Glaubensgegenstand vorausgesetzt; die menschliche Gleichheit auf die Fähigkeit zu sozialen Beziehungen zu stützen, bedeutet nicht, sie abzuleiten, sondern lediglich zu wiederholen.</w:t>
      </w:r>
    </w:p>
    <w:p>
      <w:pPr>
        <w:pStyle w:val="Flietext21"/>
        <w:keepNext w:val="false"/>
        <w:keepLines w:val="false"/>
        <w:widowControl w:val="false"/>
        <w:numPr>
          <w:ilvl w:val="0"/>
          <w:numId w:val="52"/>
        </w:numPr>
        <w:shd w:val="clear" w:color="auto" w:fill="auto"/>
        <w:tabs>
          <w:tab w:val="clear" w:pos="720"/>
          <w:tab w:val="left" w:pos="625" w:leader="none"/>
        </w:tabs>
        <w:bidi w:val="0"/>
        <w:spacing w:lineRule="auto" w:line="213" w:before="0" w:after="0"/>
        <w:ind w:left="0" w:right="0" w:firstLine="260"/>
        <w:jc w:val="both"/>
        <w:rPr/>
      </w:pPr>
      <w:r>
        <w:rPr>
          <w:color w:val="000000"/>
          <w:spacing w:val="0"/>
          <w:w w:val="100"/>
          <w:shd w:fill="auto" w:val="clear"/>
          <w:lang w:val="en-US" w:eastAsia="en-US" w:bidi="en-US"/>
        </w:rPr>
        <w:t>Zitiert in M.I. Finley, „Review of Davis’ Problem of Slavery“, in Weinstein und Gatell (Hrsg.), American Negro Slavery, S. 351.</w:t>
      </w:r>
    </w:p>
    <w:p>
      <w:pPr>
        <w:pStyle w:val="Flietext21"/>
        <w:keepNext w:val="false"/>
        <w:keepLines w:val="false"/>
        <w:widowControl w:val="false"/>
        <w:numPr>
          <w:ilvl w:val="0"/>
          <w:numId w:val="52"/>
        </w:numPr>
        <w:shd w:val="clear" w:color="auto" w:fill="auto"/>
        <w:tabs>
          <w:tab w:val="clear" w:pos="720"/>
          <w:tab w:val="left" w:pos="659" w:leader="none"/>
        </w:tabs>
        <w:bidi w:val="0"/>
        <w:spacing w:lineRule="auto" w:line="189" w:before="0" w:after="0"/>
        <w:ind w:left="0" w:right="0" w:firstLine="260"/>
        <w:jc w:val="both"/>
        <w:rPr/>
      </w:pPr>
      <w:r>
        <w:rPr>
          <w:color w:val="000000"/>
          <w:spacing w:val="0"/>
          <w:w w:val="100"/>
          <w:shd w:fill="auto" w:val="clear"/>
          <w:lang w:val="en-US" w:eastAsia="en-US" w:bidi="en-US"/>
        </w:rPr>
        <w:t>Grün, Politische Verpflichtung, Abschnitt Nr. 219.</w:t>
      </w:r>
    </w:p>
    <w:p>
      <w:pPr>
        <w:pStyle w:val="Flietext21"/>
        <w:keepNext w:val="false"/>
        <w:keepLines w:val="false"/>
        <w:widowControl w:val="false"/>
        <w:numPr>
          <w:ilvl w:val="0"/>
          <w:numId w:val="52"/>
        </w:numPr>
        <w:shd w:val="clear" w:color="auto" w:fill="auto"/>
        <w:tabs>
          <w:tab w:val="clear" w:pos="720"/>
          <w:tab w:val="left" w:pos="639" w:leader="none"/>
        </w:tabs>
        <w:bidi w:val="0"/>
        <w:spacing w:lineRule="auto" w:line="189" w:before="0" w:after="0"/>
        <w:ind w:left="0" w:right="0" w:firstLine="240"/>
        <w:jc w:val="left"/>
        <w:rPr/>
      </w:pPr>
      <w:r>
        <w:rPr>
          <w:color w:val="000000"/>
          <w:spacing w:val="0"/>
          <w:w w:val="100"/>
          <w:shd w:fill="auto" w:val="clear"/>
          <w:lang w:val="en-US" w:eastAsia="en-US" w:bidi="en-US"/>
        </w:rPr>
        <w:t>Ebenda, Abschnitt #223.</w:t>
      </w:r>
    </w:p>
    <w:p>
      <w:pPr>
        <w:pStyle w:val="Flietext21"/>
        <w:keepNext w:val="false"/>
        <w:keepLines w:val="false"/>
        <w:widowControl w:val="false"/>
        <w:numPr>
          <w:ilvl w:val="0"/>
          <w:numId w:val="52"/>
        </w:numPr>
        <w:shd w:val="clear" w:color="auto" w:fill="auto"/>
        <w:tabs>
          <w:tab w:val="clear" w:pos="720"/>
          <w:tab w:val="left" w:pos="639" w:leader="none"/>
        </w:tabs>
        <w:bidi w:val="0"/>
        <w:spacing w:lineRule="auto" w:line="189" w:before="0" w:after="200"/>
        <w:ind w:left="0" w:right="0" w:firstLine="240"/>
        <w:jc w:val="left"/>
        <w:rPr/>
      </w:pPr>
      <w:r>
        <w:rPr>
          <w:color w:val="000000"/>
          <w:spacing w:val="0"/>
          <w:w w:val="100"/>
          <w:shd w:fill="auto" w:val="clear"/>
          <w:lang w:val="en-US" w:eastAsia="en-US" w:bidi="en-US"/>
        </w:rPr>
        <w:t>Green, „Vertragsfreiheit“, S. 372.</w:t>
      </w:r>
    </w:p>
    <w:p>
      <w:pPr>
        <w:pStyle w:val="Flietext1"/>
        <w:keepNext w:val="false"/>
        <w:keepLines w:val="false"/>
        <w:widowControl w:val="false"/>
        <w:shd w:val="clear" w:color="auto" w:fill="auto"/>
        <w:bidi w:val="0"/>
        <w:spacing w:before="0" w:after="240"/>
        <w:ind w:left="0" w:right="0" w:firstLine="260"/>
        <w:jc w:val="both"/>
        <w:rPr/>
      </w:pPr>
      <w:r>
        <w:rPr>
          <w:color w:val="000000"/>
          <w:spacing w:val="0"/>
          <w:w w:val="100"/>
          <w:shd w:fill="auto" w:val="clear"/>
          <w:lang w:val="en-US" w:eastAsia="en-US" w:bidi="en-US"/>
        </w:rPr>
        <w:t>Der Grund für Greens Mangel an Kraft, das Argument der sozialen Beziehungen nachdrücklich hervorzuheben, es sei denn, es gegen die Sklaverei zu verwenden, liegt darin, dass es nicht der zentrale Punkt in seiner Theorie ist. Trotz des Fokus, den Richter und Sabine darauf legen, ist es nichts weiter als eine logische Folge oder, noch passender, eine sekundäre Neuformulierung seines zentralen Pints, nämlich seiner oft wiederholten Behauptung, dass Rechte nur aus einer Vorstellung des Gemeinsamen abgeleitet werden können Gut. Green legte großen Wert auf dieses Konzept eines gemeinsamen Zwecks oder Gemeinwohls für die Gesellschaft;' er besteht nicht nur darauf, dass es existiert, sondern auch, dass dieses Ziel/Gut/Interesse unbedingt von den Mitgliedern der Gesellschaft als solches anerkannt werden muss. Ohne ein solches Konzept und Verständnis, „wie auch immer“, ist die Existenz von Rechten unmöglich.583 Green glaubt auch, dass soziale Beziehungen eine Vorstellung vom Gemeinwohl implizieren – eine ziemlich zweifelhafte Behauptung, die später untersucht werden wird. Diese beiden Punkte führen dazu, dass er soziale Beziehungen und Rechte in einer Weise in Beziehung setzt, die manchmal fälschlicherweise einen kausalen Zusammenhang suggeriert; die genauere Verbindung zwischen ihnen besteht darin, dass beide von einer gemeinsamen Basis abstammen, dh von einer Vorstellung des Gemeinwohls. Präzise und prägnant formuliert argumentiert er nicht, dass Rechte aus sozialen Beziehungen stammen, sondern dass soziale Beziehungen (und vielleicht nur Sprache584 ) ein Beweis für die Existenz eines Konzepts des Gemeinwohls sind, aus dem Rechte abgeleitet werden.</w:t>
      </w:r>
    </w:p>
    <w:p>
      <w:pPr>
        <w:pStyle w:val="Flietext1"/>
        <w:keepNext w:val="false"/>
        <w:keepLines w:val="false"/>
        <w:widowControl w:val="false"/>
        <w:shd w:val="clear" w:color="auto" w:fill="auto"/>
        <w:bidi w:val="0"/>
        <w:spacing w:before="0" w:after="260"/>
        <w:ind w:left="0" w:right="0" w:firstLine="280"/>
        <w:jc w:val="both"/>
        <w:rPr/>
      </w:pPr>
      <w:r>
        <w:rPr>
          <w:color w:val="000000"/>
          <w:spacing w:val="0"/>
          <w:w w:val="100"/>
          <w:shd w:fill="auto" w:val="clear"/>
          <w:lang w:val="en-US" w:eastAsia="en-US" w:bidi="en-US"/>
        </w:rPr>
        <w:t>Einer der Ausgangspunkte von Greens gesamter Theorie ist daher diese Definition von Rechten, die auf einer Konzeption des Gemeinwohls beruht,585 ohne die es keine Rechte, sondern nur Befugnisse geben kann. 586 Was ist von einer solchen Behauptung zu halten? In gewisser Weise hat eine (menschliche) Gruppe gewöhnlich ein gemeinsames Ende oder Ziel, das die Daseinsberechtigung dieser Gruppe bildet. Homans sagt, dass „(Menschen) nicht einfach zusammenkommen; sie kommen zu einem bestimmten Zweck zusammen.“587 Morton Deutsch und M. Smith beziehen beide den Begriff der „einheitlichen Handlungsweise“ oder „interdependenter Ziele“ als Teil der Definition einer Gruppe ein588, aber Sprott bevorzugt „das Kriterium einer relativen Ausschließlichkeit Interaktion in einem gegebenen Kontext.“589 (Was wäre zum Beispiel vielleicht das gemeinsame Ziel eines Gefangenenlagers voller völlig demoralisierter Kriegsgefangener?) Dies wäre jedoch ein seltener Fall, und Sprott fährt fort, dies zu akzeptieren Vorstellung einer Gruppe als „dynamische Einheit“, obwohl ihre „kollektive Zweckmäßigkeit“ je nach Situation variieren und sogar für längere Zeit inaktiv sein kann. Dieses letzte Zugeständnis ist eine erhebliche Verwässerung des Begriffs der Gruppenzugehörigkeit und verwischt die Trennung zwischen einer Gruppe (z. B. einer Familie) und einer Kategorie (z. B. Rothaarige, Linkshänder), aber es ist nicht das Ende der Diskussion, denn der sprung von einem gemeinsamen ziel zu einem „gemeinwohl“ ist schwierig.</w:t>
      </w:r>
    </w:p>
    <w:p>
      <w:pPr>
        <w:pStyle w:val="Flietext21"/>
        <w:keepNext w:val="false"/>
        <w:keepLines w:val="false"/>
        <w:widowControl w:val="false"/>
        <w:numPr>
          <w:ilvl w:val="0"/>
          <w:numId w:val="52"/>
        </w:numPr>
        <w:shd w:val="clear" w:color="auto" w:fill="auto"/>
        <w:tabs>
          <w:tab w:val="clear" w:pos="720"/>
          <w:tab w:val="left" w:pos="639" w:leader="none"/>
        </w:tabs>
        <w:bidi w:val="0"/>
        <w:spacing w:lineRule="auto" w:line="240" w:before="0" w:after="0"/>
        <w:ind w:left="0" w:right="0" w:firstLine="240"/>
        <w:jc w:val="left"/>
        <w:rPr/>
      </w:pPr>
      <w:r>
        <w:rPr>
          <w:color w:val="000000"/>
          <w:spacing w:val="0"/>
          <w:w w:val="100"/>
          <w:shd w:fill="auto" w:val="clear"/>
          <w:lang w:val="en-US" w:eastAsia="en-US" w:bidi="en-US"/>
        </w:rPr>
        <w:t>Grün, Politische Verpflichtung, Abschnitt Nr. 25.</w:t>
      </w:r>
    </w:p>
    <w:p>
      <w:pPr>
        <w:pStyle w:val="Flietext21"/>
        <w:keepNext w:val="false"/>
        <w:keepLines w:val="false"/>
        <w:widowControl w:val="false"/>
        <w:numPr>
          <w:ilvl w:val="0"/>
          <w:numId w:val="52"/>
        </w:numPr>
        <w:shd w:val="clear" w:color="auto" w:fill="auto"/>
        <w:tabs>
          <w:tab w:val="clear" w:pos="720"/>
          <w:tab w:val="left" w:pos="639" w:leader="none"/>
        </w:tabs>
        <w:bidi w:val="0"/>
        <w:spacing w:before="0" w:after="0"/>
        <w:ind w:left="0" w:right="0" w:firstLine="240"/>
        <w:jc w:val="left"/>
        <w:rPr/>
      </w:pPr>
      <w:r>
        <w:rPr>
          <w:color w:val="000000"/>
          <w:spacing w:val="0"/>
          <w:w w:val="100"/>
          <w:shd w:fill="auto" w:val="clear"/>
          <w:lang w:val="en-US" w:eastAsia="en-US" w:bidi="en-US"/>
        </w:rPr>
        <w:t>Ebenda, Abschnitt #140.</w:t>
      </w:r>
    </w:p>
    <w:p>
      <w:pPr>
        <w:pStyle w:val="Flietext21"/>
        <w:keepNext w:val="false"/>
        <w:keepLines w:val="false"/>
        <w:widowControl w:val="false"/>
        <w:numPr>
          <w:ilvl w:val="0"/>
          <w:numId w:val="52"/>
        </w:numPr>
        <w:shd w:val="clear" w:color="auto" w:fill="auto"/>
        <w:tabs>
          <w:tab w:val="clear" w:pos="720"/>
          <w:tab w:val="left" w:pos="639" w:leader="none"/>
        </w:tabs>
        <w:bidi w:val="0"/>
        <w:spacing w:lineRule="auto" w:line="220" w:before="0" w:after="200"/>
        <w:ind w:left="0" w:right="0" w:firstLine="240"/>
        <w:jc w:val="left"/>
        <w:rPr/>
      </w:pPr>
      <w:r>
        <w:rPr>
          <w:color w:val="000000"/>
          <w:spacing w:val="0"/>
          <w:w w:val="100"/>
          <w:shd w:fill="auto" w:val="clear"/>
          <w:lang w:val="en-US" w:eastAsia="en-US" w:bidi="en-US"/>
        </w:rPr>
        <w:t>Ebenda, Abschnitt #26.</w:t>
      </w:r>
    </w:p>
    <w:p>
      <w:pPr>
        <w:pStyle w:val="Flietext1"/>
        <w:keepNext w:val="false"/>
        <w:keepLines w:val="false"/>
        <w:widowControl w:val="false"/>
        <w:shd w:val="clear" w:color="auto" w:fill="auto"/>
        <w:bidi w:val="0"/>
        <w:spacing w:before="0" w:after="220"/>
        <w:ind w:left="0" w:right="0" w:firstLine="280"/>
        <w:jc w:val="both"/>
        <w:rPr/>
      </w:pPr>
      <w:r>
        <w:rPr>
          <w:color w:val="000000"/>
          <w:spacing w:val="0"/>
          <w:w w:val="100"/>
          <w:shd w:fill="auto" w:val="clear"/>
          <w:lang w:val="en-US" w:eastAsia="en-US" w:bidi="en-US"/>
        </w:rPr>
        <w:t>Obwohl eine Gruppe für einen bestimmten Zweck gegründet werden kann, können spätere Mitglieder und sogar Gründungsmitglieder den angegebenen Gruppenzweck als zweitrangig oder völlig unwichtig betrachten. Die Gesellschaft zur Aufführung von Mozarts Opern könnte durchaus eine Reihe von Personen umfassen, die fest daran glauben, wie wichtig es ist, dem Publikum durch den Genuss einer solchen Hochkultur eine Chance zur Selbstverbesserung zu bieten. Gleichzeitig wird es Personen enthalten, die sich angeschlossen haben, um Freunde zu finden oder einen Freund oder Verwandten zu erfreuen, und junge Anwälte, die bestrebt sind, Kontakte zu knüpfen, die zu neuen Mandanten führen könnten. Mit der Zeit könnten die Handlungen Einzelner so sehr von dem Wunsch beeinflusst werden, die Clique von Herrn Y zu unterwerfen, wie Don Giovanni am 3. Oktober zu präsentieren, und das Segment der Unternehmensführung könnte dazu kommen, ihre Aufgaben als solche als eigenständig zu betrachten Untergruppen neigen dazu.</w:t>
      </w:r>
    </w:p>
    <w:p>
      <w:pPr>
        <w:pStyle w:val="Flietext21"/>
        <w:keepNext w:val="false"/>
        <w:keepLines w:val="false"/>
        <w:widowControl w:val="false"/>
        <w:numPr>
          <w:ilvl w:val="0"/>
          <w:numId w:val="52"/>
        </w:numPr>
        <w:shd w:val="clear" w:color="auto" w:fill="auto"/>
        <w:tabs>
          <w:tab w:val="clear" w:pos="720"/>
          <w:tab w:val="left" w:pos="639" w:leader="none"/>
        </w:tabs>
        <w:bidi w:val="0"/>
        <w:spacing w:lineRule="auto" w:line="192" w:before="0" w:after="0"/>
        <w:ind w:left="0" w:right="0" w:firstLine="240"/>
        <w:jc w:val="left"/>
        <w:rPr/>
      </w:pPr>
      <w:r>
        <w:rPr>
          <w:color w:val="000000"/>
          <w:spacing w:val="0"/>
          <w:w w:val="100"/>
          <w:shd w:fill="auto" w:val="clear"/>
          <w:lang w:val="en-US" w:eastAsia="en-US" w:bidi="en-US"/>
        </w:rPr>
        <w:t>Ebenda, Abschnitt #31.</w:t>
      </w:r>
    </w:p>
    <w:p>
      <w:pPr>
        <w:pStyle w:val="Flietext21"/>
        <w:keepNext w:val="false"/>
        <w:keepLines w:val="false"/>
        <w:widowControl w:val="false"/>
        <w:numPr>
          <w:ilvl w:val="0"/>
          <w:numId w:val="52"/>
        </w:numPr>
        <w:shd w:val="clear" w:color="auto" w:fill="auto"/>
        <w:tabs>
          <w:tab w:val="clear" w:pos="720"/>
          <w:tab w:val="left" w:pos="625" w:leader="none"/>
        </w:tabs>
        <w:bidi w:val="0"/>
        <w:spacing w:lineRule="auto" w:line="216" w:before="0" w:after="0"/>
        <w:ind w:left="0" w:right="0" w:firstLine="280"/>
        <w:jc w:val="both"/>
        <w:rPr/>
      </w:pPr>
      <w:r>
        <w:rPr>
          <w:color w:val="000000"/>
          <w:spacing w:val="0"/>
          <w:w w:val="100"/>
          <w:shd w:fill="auto" w:val="clear"/>
          <w:lang w:val="en-US" w:eastAsia="en-US" w:bidi="en-US"/>
        </w:rPr>
        <w:t>Zitiert in W.J.H. Sprott, Human Groups (Harmondsworth, England: Penguin Books, 1958), p. 52.</w:t>
      </w:r>
    </w:p>
    <w:p>
      <w:pPr>
        <w:pStyle w:val="Flietext21"/>
        <w:keepNext w:val="false"/>
        <w:keepLines w:val="false"/>
        <w:widowControl w:val="false"/>
        <w:shd w:val="clear" w:color="auto" w:fill="auto"/>
        <w:bidi w:val="0"/>
        <w:spacing w:lineRule="auto" w:line="192" w:before="0" w:after="0"/>
        <w:ind w:left="0" w:right="0" w:firstLine="240"/>
        <w:jc w:val="left"/>
        <w:rPr/>
      </w:pPr>
      <w:r>
        <w:rPr>
          <w:color w:val="000000"/>
          <w:spacing w:val="0"/>
          <w:w w:val="100"/>
          <w:shd w:fill="auto" w:val="clear"/>
          <w:lang w:val="en-US" w:eastAsia="en-US" w:bidi="en-US"/>
        </w:rPr>
        <w:t>588 Ebd.</w:t>
      </w:r>
    </w:p>
    <w:p>
      <w:pPr>
        <w:pStyle w:val="Flietext21"/>
        <w:keepNext w:val="false"/>
        <w:keepLines w:val="false"/>
        <w:widowControl w:val="false"/>
        <w:shd w:val="clear" w:color="auto" w:fill="auto"/>
        <w:bidi w:val="0"/>
        <w:spacing w:lineRule="auto" w:line="192" w:before="0" w:after="200"/>
        <w:ind w:left="0" w:right="0" w:firstLine="240"/>
        <w:jc w:val="left"/>
        <w:rPr/>
      </w:pPr>
      <w:r>
        <w:rPr>
          <w:color w:val="000000"/>
          <w:spacing w:val="0"/>
          <w:w w:val="100"/>
          <w:shd w:fill="auto" w:val="clear"/>
          <w:lang w:val="en-US" w:eastAsia="en-US" w:bidi="en-US"/>
        </w:rPr>
        <w:t>589 Ebd.</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Beim Staat ist das Problem noch akuter. Der Bürger ist gleichzeitig Mitglied einer Reihe unterschiedlicher Gruppen, deren Ziele einander widersprechen können (und oft auch tun). Historisch gesehen wäre es schwierig, dem Gemeinwohl viel Inhalt zu geben, der über die Aufrechterhaltung eines erträglichen Maßes an häuslicher Ruhe hinausgeht; darüber hinaus gehen Vorteile für eine Teileinheit meist zu Lasten anderer, und die „Gemeinsamkeit“ wird fragwürdig. Auch wo es weitere Ziele gibt, die empirisch als von allen oder fast allen Mitgliedern geteilt festgestellt werden können, können diese moralische Ziele sein oder auch nicht.</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Nun, das redet offensichtlich wirklich an Green vorbei, ohne sich mit seinem wirklichen Argument auseinanderzusetzen. Erstens entscheidet man sich normalerweise nicht dafür, der Gesellschaft beizutreten; man wird hineingeboren und ist Mitglied, bevor man merkt, dass man es ist. Zweitens macht sich Green keine Sorgen über die Zwecke oder Funktionen, die wir dem Staat müßig wünschen würden, sondern über die Natur des Staates als solchen. Drittens unternimmt er im Wesentlichen keine empirische Untersuchung der wahrgenommenen Zwecke und gemeinsamen Ziele einer Gesellschaft, auch seiner eigenen, sondern beschäftigt sich vielmehr mit der Frage, wie der Staat beschaffen sein sollte, welche Ziele die Gesellschaft anstreben sollte. Das Problem, das er sich mit diesem Ansatz stellt, besteht darin, aufzuzeigen, in welcher Beziehung seine Vermutungen über die ideale Natur des Staates zu der realen Regierung stehen, die den Anspruch erhebt, Autorität über uns auszuüben. Empirische Untersuchung wird es nicht tun; hinter die empirische Datierung will er sowieso gehen. Es ist jedoch offensichtlich, dass seine Argumentation eine wesentliche Identität zwischen der tatsächlichen Regierung – was der Staat ist – und der idealen Regierung – was der Staat sein sollte – annimmt. Er will sich nicht an mögliche Bewohner zukünftiger Utopien wenden, sondern beschäftigt sich mit seinen gegenwärtigen Mitbürgern.</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de-DE" w:eastAsia="de-DE" w:bidi="de-DE"/>
        </w:rPr>
        <w:t>Soweit sowohl Green als auch Rousseau von einem Gemeinwohl sprechen, ist die kurze Untersuchung der Unterschiede zwischen ihnen in diesem Punkt aufschlussreich. Green argumentiert, dass die Gesellschaft einen Begriff des Gemeinwohls voraussetzt und dass Rechte nur auf einem Begriff des Gemeinwohls beruhen können. Somit fallen alle Gesellschaften in den Bereich seiner Analyse, und noch deutlicher alle konstitutionellen Gesellschaften. Auf der anderen Seite bestand Rousseau zwar darauf, dass die Politik auf der volonte generale beruhen sollte, kam aber pessimistisch zu dem Schluss, dass die meisten Gesellschaften so verdorben seien, dass die volonte generale nicht gehört werden könne, und sah nur sehr begrenzte Aussichten für den effektiven Aufbau einer stabilen Gesellschaft nach der volonte generale. Wo Grün optimistisch ist, ist Rousseau pessimistisch, und entsprechend, wo Grün immer wieder darauf abgleitet zu sagen, dass die Dinge so sind, behauptet Rousseau düster, dass sie so sein sollten, aber normalerweise nicht sind.</w:t>
      </w:r>
    </w:p>
    <w:p>
      <w:pPr>
        <w:pStyle w:val="Flietext1"/>
        <w:keepNext w:val="false"/>
        <w:keepLines w:val="false"/>
        <w:widowControl w:val="false"/>
        <w:shd w:val="clear" w:color="auto" w:fill="auto"/>
        <w:bidi w:val="0"/>
        <w:spacing w:before="0" w:after="280"/>
        <w:ind w:left="0" w:right="0" w:firstLine="300"/>
        <w:jc w:val="both"/>
        <w:rPr/>
      </w:pPr>
      <w:r>
        <w:rPr>
          <w:color w:val="000000"/>
          <w:spacing w:val="0"/>
          <w:w w:val="100"/>
          <w:shd w:fill="auto" w:val="clear"/>
          <w:lang w:val="de-DE" w:eastAsia="de-DE" w:bidi="de-DE"/>
        </w:rPr>
        <w:t>Es wird nicht behauptet, Green habe lediglich angenommen, alle Nationalstaaten seien das, was er seiner Meinung nach sein sollte; sein Denken ist nicht so schlampig. Ein weiteres Merkmal seiner Argumentation, auf das später noch eingegangen wird, ermöglichte es ihm jedoch, dies mit größerer Zuversicht zu behaupten; ein optimistischer Blick auf den historischen Fortschritt ist die Grundlage für seine Verschmelzung von Ideal und Wirklichkeit und damit für die Trennung der Wege von Green und Rousseau. Derselbe Punkt markiert den Übergang von seiner liberal-individualistischen Stimmung zu einem etwas anderen Ansatz, der zunächst locker als „etatistisch“ bezeichnet und anschließend angemessener expliziert wird.</w:t>
      </w:r>
    </w:p>
    <w:p>
      <w:pPr>
        <w:pStyle w:val="Flietext1"/>
        <w:keepNext w:val="false"/>
        <w:keepLines w:val="false"/>
        <w:widowControl w:val="false"/>
        <w:shd w:val="clear" w:color="auto" w:fill="auto"/>
        <w:bidi w:val="0"/>
        <w:spacing w:before="0" w:after="120"/>
        <w:ind w:left="0" w:right="0" w:hanging="0"/>
        <w:jc w:val="left"/>
        <w:rPr/>
      </w:pPr>
      <w:r>
        <w:rPr>
          <w:i/>
          <w:iCs/>
          <w:color w:val="000000"/>
          <w:spacing w:val="0"/>
          <w:w w:val="100"/>
          <w:shd w:fill="auto" w:val="clear"/>
          <w:lang w:val="de-DE" w:eastAsia="de-DE" w:bidi="de-DE"/>
        </w:rPr>
        <w:t>Das zweite Argument: Green der „Etatist“</w:t>
      </w:r>
    </w:p>
    <w:p>
      <w:pPr>
        <w:pStyle w:val="Flietext1"/>
        <w:keepNext w:val="false"/>
        <w:keepLines w:val="false"/>
        <w:widowControl w:val="false"/>
        <w:shd w:val="clear" w:color="auto" w:fill="auto"/>
        <w:bidi w:val="0"/>
        <w:spacing w:before="0" w:after="0"/>
        <w:ind w:left="0" w:right="0" w:firstLine="300"/>
        <w:jc w:val="both"/>
        <w:rPr/>
      </w:pPr>
      <w:r>
        <w:rPr>
          <w:color w:val="000000"/>
          <w:spacing w:val="0"/>
          <w:w w:val="100"/>
          <w:shd w:fill="auto" w:val="clear"/>
          <w:lang w:val="de-DE" w:eastAsia="de-DE" w:bidi="de-DE"/>
        </w:rPr>
        <w:t>Green verlagert seine Aufmerksamkeit nun vom Individuum auf die Institutionen und, was noch wichtiger ist, auf die höchste aller Institutionen, den Staat. Mit dieser Bodenverschiebung ist Green seinem Ziel sehr nahe.</w:t>
      </w:r>
    </w:p>
    <w:p>
      <w:pPr>
        <w:pStyle w:val="Flietext1"/>
        <w:keepNext w:val="false"/>
        <w:keepLines w:val="false"/>
        <w:widowControl w:val="false"/>
        <w:shd w:val="clear" w:color="auto" w:fill="auto"/>
        <w:bidi w:val="0"/>
        <w:spacing w:before="0" w:after="280"/>
        <w:ind w:left="0" w:right="0" w:firstLine="300"/>
        <w:jc w:val="both"/>
        <w:rPr/>
      </w:pPr>
      <w:r>
        <w:rPr>
          <w:color w:val="000000"/>
          <w:spacing w:val="0"/>
          <w:w w:val="100"/>
          <w:shd w:fill="auto" w:val="clear"/>
          <w:lang w:val="de-DE" w:eastAsia="de-DE" w:bidi="de-DE"/>
        </w:rPr>
        <w:t>Gordon K. Lewis590 hat Green die Unterscheidung zwischen Staat und Gesellschaft zugeschrieben. Eine solche Vergabe von Lorbeeren ist nicht angebracht, denn es ist das Verständnis einer solchen Unterscheidung, das in diesem Teil seiner Analyse am meisten fehlt; wie Lancaster feststellt, „er unterscheidet Gesellschaft und Staat nicht wirklich.“591 Green wechselt innerhalb eines einzigen Satzes frei und ohne Übergang von der Gesellschaft („dieser Komplex von Institutionen“) zum Staat592, wobei der Wechsel so mühelos und beiläufig wie möglich ist Substituierbarkeit suggerieren. Tatsächlich ist die Verschmelzung von Staat und Gesellschaft wesentlich für Greens endgültige Position zur Verpflichtung.</w:t>
      </w:r>
    </w:p>
    <w:p>
      <w:pPr>
        <w:pStyle w:val="Flietext21"/>
        <w:keepNext w:val="false"/>
        <w:keepLines w:val="false"/>
        <w:widowControl w:val="false"/>
        <w:numPr>
          <w:ilvl w:val="0"/>
          <w:numId w:val="53"/>
        </w:numPr>
        <w:shd w:val="clear" w:color="auto" w:fill="auto"/>
        <w:tabs>
          <w:tab w:val="clear" w:pos="720"/>
          <w:tab w:val="left" w:pos="625" w:leader="none"/>
        </w:tabs>
        <w:bidi w:val="0"/>
        <w:spacing w:lineRule="auto" w:line="220" w:before="0" w:after="200"/>
        <w:ind w:left="0" w:right="0" w:firstLine="300"/>
        <w:jc w:val="both"/>
        <w:rPr/>
      </w:pPr>
      <w:r>
        <w:rPr>
          <w:color w:val="000000"/>
          <w:spacing w:val="0"/>
          <w:w w:val="100"/>
          <w:shd w:fill="auto" w:val="clear"/>
          <w:lang w:val="de-DE" w:eastAsia="de-DE" w:bidi="de-DE"/>
        </w:rPr>
        <w:t>Gordon K. Lewis, „Twentieth Century Capitalism and Socialism: The Present State of the Anglo-American Debate“, in Stankiwicz (Hrsg.), Political Though Since World War II (London: Collier-Macmillan, 1964), S. 65.</w:t>
      </w:r>
    </w:p>
    <w:p>
      <w:pPr>
        <w:pStyle w:val="Flietext1"/>
        <w:keepNext w:val="false"/>
        <w:keepLines w:val="false"/>
        <w:widowControl w:val="false"/>
        <w:shd w:val="clear" w:color="auto" w:fill="auto"/>
        <w:bidi w:val="0"/>
        <w:spacing w:before="0" w:after="240"/>
        <w:ind w:left="0" w:right="0" w:firstLine="300"/>
        <w:jc w:val="both"/>
        <w:rPr/>
      </w:pPr>
      <w:r>
        <w:rPr>
          <w:color w:val="000000"/>
          <w:spacing w:val="0"/>
          <w:w w:val="100"/>
          <w:shd w:fill="auto" w:val="clear"/>
          <w:lang w:val="de-DE" w:eastAsia="de-DE" w:bidi="de-DE"/>
        </w:rPr>
        <w:t>Der Komplex der Institutionen, so argumentiert er, repräsentiert die Herangehensweise dieser Gesellschaft an das Gemeinwohl, und der Staat ist offensichtlich der Schlussstein dieses Komplexes. Dieser Punkt ist sehr wichtig, und er macht es sehr früh in seiner Diskussion:</w:t>
      </w:r>
    </w:p>
    <w:p>
      <w:pPr>
        <w:pStyle w:val="Flietext1"/>
        <w:keepNext w:val="false"/>
        <w:keepLines w:val="false"/>
        <w:widowControl w:val="false"/>
        <w:shd w:val="clear" w:color="auto" w:fill="auto"/>
        <w:bidi w:val="0"/>
        <w:spacing w:before="0" w:after="280"/>
        <w:ind w:left="240" w:right="0" w:firstLine="380"/>
        <w:jc w:val="left"/>
        <w:rPr/>
      </w:pPr>
      <w:r>
        <w:rPr>
          <w:color w:val="000000"/>
          <w:spacing w:val="0"/>
          <w:w w:val="100"/>
          <w:shd w:fill="auto" w:val="clear"/>
          <w:vertAlign w:val="superscript"/>
          <w:lang w:val="en-US" w:eastAsia="en-US" w:bidi="en-US"/>
        </w:rPr>
        <w:t>(moralische Ideen) sind in den Gesetzen, Institutionen und sozialen Erwartungen verkörpert, die die konventionelle Moral ausmachen. Diese Verkörperung wiederum macht den moralischen Fortschritt der Menschheit aus.593</w:t>
      </w:r>
    </w:p>
    <w:p>
      <w:pPr>
        <w:pStyle w:val="Flietext1"/>
        <w:keepNext w:val="false"/>
        <w:keepLines w:val="false"/>
        <w:widowControl w:val="false"/>
        <w:shd w:val="clear" w:color="auto" w:fill="auto"/>
        <w:bidi w:val="0"/>
        <w:spacing w:before="0" w:after="280"/>
        <w:ind w:left="0" w:right="0" w:hanging="0"/>
        <w:jc w:val="both"/>
        <w:rPr/>
      </w:pPr>
      <w:r>
        <w:rPr>
          <w:color w:val="000000"/>
          <w:spacing w:val="0"/>
          <w:w w:val="100"/>
          <w:shd w:fill="auto" w:val="clear"/>
          <w:lang w:val="en-US" w:eastAsia="en-US" w:bidi="en-US"/>
        </w:rPr>
        <w:t>Außerdem sind es die Institutionen, die uns moralisieren, die uns sogar die Sprache und die Begriffe geben, ohne die wir diese Institutionen nicht kritisieren könnten.594 Zwang im Namen der Institutionen ist gerechtfertigt, um Individuen auf die Ebene des moralischen Fortschritts zu bringen in diesen Institutionen verwirklicht oder verkörpert. (Logischerweise würde ein solcher Zwang auch gelegentliche Abweichler auf dieses Niveau bringen, da Moralreformer genauso leicht angegriffen werden wie Verdammte – um die offensichtlichen Beispiele zu nennen, wurden sowohl Christus als auch Sokrates legal hingerichtet – aber Greens Glaube an die Unvermeidlichkeit des Fortschritts macht dies möglich ein untergeordnetes Thema.) Die Häufigkeit, mit der Zwang angewendet werden muss, wird natürlich dadurch verringert, dass die Institutionen, in deren Namen der Zwang ausgeübt wird, dieselben Institutionen sind, die moralische Vorstellungen und Überzeugungen überhaupt eingeprägt haben, so dass zu a erheblichen Maße würden die Werte internalisiert.</w:t>
      </w:r>
    </w:p>
    <w:p>
      <w:pPr>
        <w:pStyle w:val="Flietext21"/>
        <w:keepNext w:val="false"/>
        <w:keepLines w:val="false"/>
        <w:widowControl w:val="false"/>
        <w:numPr>
          <w:ilvl w:val="0"/>
          <w:numId w:val="53"/>
        </w:numPr>
        <w:shd w:val="clear" w:color="auto" w:fill="auto"/>
        <w:tabs>
          <w:tab w:val="clear" w:pos="720"/>
          <w:tab w:val="left" w:pos="625" w:leader="none"/>
        </w:tabs>
        <w:bidi w:val="0"/>
        <w:spacing w:lineRule="auto" w:line="213" w:before="0" w:after="0"/>
        <w:ind w:left="0" w:right="0" w:firstLine="280"/>
        <w:jc w:val="both"/>
        <w:rPr/>
      </w:pPr>
      <w:r>
        <w:rPr>
          <w:color w:val="000000"/>
          <w:spacing w:val="0"/>
          <w:w w:val="100"/>
          <w:shd w:fill="auto" w:val="clear"/>
          <w:lang w:val="en-US" w:eastAsia="en-US" w:bidi="en-US"/>
        </w:rPr>
        <w:t>Lane W. Lancaster, Meister des politischen Denkens, Bd. III (London: George C. Harrap &amp; Co., 1959), p. 231.</w:t>
      </w:r>
    </w:p>
    <w:p>
      <w:pPr>
        <w:pStyle w:val="Flietext21"/>
        <w:keepNext w:val="false"/>
        <w:keepLines w:val="false"/>
        <w:widowControl w:val="false"/>
        <w:numPr>
          <w:ilvl w:val="0"/>
          <w:numId w:val="53"/>
        </w:numPr>
        <w:shd w:val="clear" w:color="auto" w:fill="auto"/>
        <w:tabs>
          <w:tab w:val="clear" w:pos="720"/>
          <w:tab w:val="left" w:pos="679" w:leader="none"/>
        </w:tabs>
        <w:bidi w:val="0"/>
        <w:spacing w:lineRule="auto" w:line="189" w:before="0" w:after="0"/>
        <w:ind w:left="0" w:right="0" w:firstLine="280"/>
        <w:jc w:val="both"/>
        <w:rPr/>
      </w:pPr>
      <w:r>
        <w:rPr>
          <w:color w:val="000000"/>
          <w:spacing w:val="0"/>
          <w:w w:val="100"/>
          <w:shd w:fill="auto" w:val="clear"/>
          <w:lang w:val="en-US" w:eastAsia="en-US" w:bidi="en-US"/>
        </w:rPr>
        <w:t>Grün, Politische Verpflichtung, Abschnitt Nr. 114.</w:t>
      </w:r>
    </w:p>
    <w:p>
      <w:pPr>
        <w:pStyle w:val="Flietext21"/>
        <w:keepNext w:val="false"/>
        <w:keepLines w:val="false"/>
        <w:widowControl w:val="false"/>
        <w:numPr>
          <w:ilvl w:val="0"/>
          <w:numId w:val="53"/>
        </w:numPr>
        <w:shd w:val="clear" w:color="auto" w:fill="auto"/>
        <w:tabs>
          <w:tab w:val="clear" w:pos="720"/>
          <w:tab w:val="left" w:pos="639" w:leader="none"/>
        </w:tabs>
        <w:bidi w:val="0"/>
        <w:spacing w:lineRule="auto" w:line="189" w:before="0" w:after="0"/>
        <w:ind w:left="0" w:right="0" w:firstLine="240"/>
        <w:jc w:val="left"/>
        <w:rPr/>
      </w:pPr>
      <w:r>
        <w:rPr>
          <w:color w:val="000000"/>
          <w:spacing w:val="0"/>
          <w:w w:val="100"/>
          <w:shd w:fill="auto" w:val="clear"/>
          <w:lang w:val="en-US" w:eastAsia="en-US" w:bidi="en-US"/>
        </w:rPr>
        <w:t>Ebenda, Abschnitt #6.</w:t>
      </w:r>
    </w:p>
    <w:p>
      <w:pPr>
        <w:pStyle w:val="Flietext21"/>
        <w:keepNext w:val="false"/>
        <w:keepLines w:val="false"/>
        <w:widowControl w:val="false"/>
        <w:numPr>
          <w:ilvl w:val="0"/>
          <w:numId w:val="53"/>
        </w:numPr>
        <w:shd w:val="clear" w:color="auto" w:fill="auto"/>
        <w:tabs>
          <w:tab w:val="clear" w:pos="720"/>
          <w:tab w:val="left" w:pos="639" w:leader="none"/>
        </w:tabs>
        <w:bidi w:val="0"/>
        <w:spacing w:lineRule="auto" w:line="189" w:before="0" w:after="200"/>
        <w:ind w:left="0" w:right="0" w:firstLine="240"/>
        <w:jc w:val="left"/>
        <w:rPr/>
      </w:pPr>
      <w:r>
        <w:rPr>
          <w:color w:val="000000"/>
          <w:spacing w:val="0"/>
          <w:w w:val="100"/>
          <w:shd w:fill="auto" w:val="clear"/>
          <w:lang w:val="en-US" w:eastAsia="en-US" w:bidi="en-US"/>
        </w:rPr>
        <w:t>Ebenda, Abschnitt #115.</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vertAlign w:val="superscript"/>
          <w:lang w:val="en-US" w:eastAsia="en-US" w:bidi="en-US"/>
        </w:rPr>
        <w:t>Soweit es diese Institutionen sind, die uns moralisiert, uns die Sprache gegeben, uns vollständig menschlich gemacht haben, ist Greens Position der von Sokrates in seinem Dialog mit den Gesetzen nicht unähnlich. In beiden Fällen kommt die Bindung an eine Verpflichtung vor (oder im Prozess, und in Green anscheinend durch den Prozess der) Erkenntnis, dass eine Bindung notwendig ist; doch für Green ist diese Verpflichtung noch schwerer zu löschen oder für nichtig zu erklären als für Sokrates, und hat noch mehr die Natur eines Blankoschecks. Greens Haltung kann ohne Verzerrung so dargestellt werden, als würde sie den Akt des Ungehorsams als einen Akt überwältigender Undankbarkeit bezeichnen. Gäbe es diesen Komplex von Institutionen nicht, „hätte ich buchstäblich kein Leben, das ich mein Eigen nennen könnte.“568</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vertAlign w:val="superscript"/>
          <w:lang w:val="en-US" w:eastAsia="en-US" w:bidi="en-US"/>
        </w:rPr>
        <w:t>Die Verschmelzung von Staat und Gesellschaft ist explizit; ohne sie impliziert die Erklärung der Pflichten gegenüber der Gesellschaft keine Schlussfolgerung über den Gehorsam gegenüber der Regierung. Für Green wird die Gesellschaft/der Staat einheitlich, so dass man sich dem Teil nicht widersetzen kann, ohne sich dem Ganzen zu widersetzen, und die Identität wird zur Grundlage der Verpflichtung – die Befehle des Staates beziehen ihre Verbindlichkeit aus dieser Beziehung zu den Institutionen der Gesellschaft, und der Ungehorsam gegen solche Gebote wird angeprangert wegen der Folgen, die für den angeblich folgenden Institutionenkomplex schädlich sind. Widerstand auch gegen Gesetze, die die Naturrechte verletzen, ist wegen möglicher Anarchie ausgeschlossen.595 568</w:t>
      </w:r>
    </w:p>
    <w:p>
      <w:pPr>
        <w:pStyle w:val="Flietext1"/>
        <w:keepNext w:val="false"/>
        <w:keepLines w:val="false"/>
        <w:widowControl w:val="false"/>
        <w:shd w:val="clear" w:color="auto" w:fill="auto"/>
        <w:bidi w:val="0"/>
        <w:spacing w:before="0" w:after="280"/>
        <w:ind w:left="0" w:right="0" w:firstLine="320"/>
        <w:jc w:val="left"/>
        <w:rPr/>
      </w:pPr>
      <w:r>
        <w:rPr>
          <w:color w:val="000000"/>
          <w:spacing w:val="0"/>
          <w:w w:val="100"/>
          <w:shd w:fill="auto" w:val="clear"/>
          <w:lang w:val="en-US" w:eastAsia="en-US" w:bidi="en-US"/>
        </w:rPr>
        <w:t>Eine solche Behauptung erscheint empirisch zweifelhaft. Wie Luttwak betont:</w:t>
      </w:r>
    </w:p>
    <w:p>
      <w:pPr>
        <w:pStyle w:val="Flietext1"/>
        <w:keepNext w:val="false"/>
        <w:keepLines w:val="false"/>
        <w:widowControl w:val="false"/>
        <w:shd w:val="clear" w:color="auto" w:fill="auto"/>
        <w:bidi w:val="0"/>
        <w:spacing w:lineRule="auto" w:line="252" w:before="0" w:after="280"/>
        <w:ind w:left="320" w:right="0" w:firstLine="300"/>
        <w:jc w:val="both"/>
        <w:rPr/>
      </w:pPr>
      <w:r>
        <w:rPr>
          <w:color w:val="000000"/>
          <w:spacing w:val="0"/>
          <w:w w:val="100"/>
          <w:shd w:fill="auto" w:val="clear"/>
          <w:vertAlign w:val="superscript"/>
          <w:lang w:val="en-US" w:eastAsia="en-US" w:bidi="en-US"/>
        </w:rPr>
        <w:t>Ab Januar 1968 erlebten die Zentralregierungen von Indien, Burma, Kenia, Somalia, Äthiopien und Tibet alle bewaffnete Konflikte mit separatistischen Kräften. Kanada, Indien, Frankreich und das Vereinigte Königreich erleben politische Konflikte mit separatistischen Elementen. In Spanien, Jugoslawien und Italien operieren mehr oder weniger gewalttätige Separatistengruppen.568</w:t>
      </w:r>
    </w:p>
    <w:p>
      <w:pPr>
        <w:pStyle w:val="Flietext1"/>
        <w:keepNext w:val="false"/>
        <w:keepLines w:val="false"/>
        <w:widowControl w:val="false"/>
        <w:shd w:val="clear" w:color="auto" w:fill="auto"/>
        <w:bidi w:val="0"/>
        <w:spacing w:before="0" w:after="280"/>
        <w:ind w:left="0" w:right="0" w:hanging="0"/>
        <w:jc w:val="both"/>
        <w:rPr/>
      </w:pPr>
      <w:r>
        <w:rPr>
          <w:color w:val="000000"/>
          <w:spacing w:val="0"/>
          <w:w w:val="100"/>
          <w:shd w:fill="auto" w:val="clear"/>
          <w:lang w:val="en-US" w:eastAsia="en-US" w:bidi="en-US"/>
        </w:rPr>
        <w:t>Eine Nation ist vielmehr ein ineinandergreifendes System einer Reihe von Institutionenkomplexen mit einem erheblichen Grad an potenziellen oder tatsächlichen Konflikten zwischen diesen Komplexen. Es mag wahr sein (und fast eine Binsenweisheit), dass uns ohne „Gesellschaft“ jede Vorstellung von Gut oder Recht oder gar die Sprache fehlen würde, um sie auszudrücken, aber es ist nicht wahr, dass wir deshalb eine positive Orientierung haben müssen gegenüber jeder Institution, die innerhalb dieser Gesellschaft existiert; in der Tat kann dies oft unmöglich sein (wie wenn der aufstrebende Kapitalismus mit dem Feudalismus zusammenstieß oder in einem der unzähligen Konflikte zwischen Kirche und Staat). Ein solcher Faktor kann für kriminellen Ungehorsam nicht weniger gelten als für Sektionalismus, siehe Jones:</w:t>
      </w:r>
    </w:p>
    <w:p>
      <w:pPr>
        <w:pStyle w:val="Flietext1"/>
        <w:keepNext w:val="false"/>
        <w:keepLines w:val="false"/>
        <w:widowControl w:val="false"/>
        <w:shd w:val="clear" w:color="auto" w:fill="auto"/>
        <w:tabs>
          <w:tab w:val="clear" w:pos="720"/>
          <w:tab w:val="left" w:pos="1352" w:leader="dot"/>
        </w:tabs>
        <w:bidi w:val="0"/>
        <w:spacing w:lineRule="auto" w:line="252" w:before="0" w:after="0"/>
        <w:ind w:left="320" w:right="0" w:firstLine="300"/>
        <w:jc w:val="both"/>
        <w:rPr/>
      </w:pPr>
      <w:r>
        <w:rPr>
          <w:color w:val="000000"/>
          <w:spacing w:val="0"/>
          <w:w w:val="100"/>
          <w:shd w:fill="auto" w:val="clear"/>
          <w:lang w:val="en-US" w:eastAsia="en-US" w:bidi="en-US"/>
        </w:rPr>
        <w:t>Was wir als nationale Lebensweise und Moralsystem zu betrachten neigen, ist nicht mehr als die gesellschaftlich vorherrschende Ansicht – entweder weil es die Ansicht einer Mehrheit oder einer Gruppe wie der Mittelschicht ist, die die Ansicht vertreten Bildung und die wirtschaftliche und politische Macht, die eigenen Wertevorstellungen im ganzen Land durchzusetzen. Andere junge Menschen sind eher an Akzeptanz interessiert</w:t>
      </w:r>
    </w:p>
    <w:p>
      <w:pPr>
        <w:pStyle w:val="Flietext1"/>
        <w:keepNext w:val="false"/>
        <w:keepLines w:val="false"/>
        <w:widowControl w:val="false"/>
        <w:shd w:val="clear" w:color="auto" w:fill="auto"/>
        <w:bidi w:val="0"/>
        <w:spacing w:lineRule="auto" w:line="252" w:before="0" w:after="280"/>
        <w:ind w:left="320" w:right="0" w:hanging="0"/>
        <w:jc w:val="left"/>
        <w:rPr/>
      </w:pPr>
      <w:r>
        <w:rPr>
          <w:color w:val="000000"/>
          <w:spacing w:val="0"/>
          <w:w w:val="100"/>
          <w:shd w:fill="auto" w:val="clear"/>
          <w:vertAlign w:val="superscript"/>
          <w:lang w:val="en-US" w:eastAsia="en-US" w:bidi="en-US"/>
        </w:rPr>
        <w:t>innerhalb ihrer eigenen Subkultur ... sehen nichts Falsches darin, Institutionen und Gesetze zu untergraben, was sie als wenig mehr als ungerechten Despotismus empfinden.598</w:t>
      </w:r>
    </w:p>
    <w:p>
      <w:pPr>
        <w:pStyle w:val="Flietext1"/>
        <w:keepNext w:val="false"/>
        <w:keepLines w:val="false"/>
        <w:widowControl w:val="false"/>
        <w:shd w:val="clear" w:color="auto" w:fill="auto"/>
        <w:bidi w:val="0"/>
        <w:spacing w:before="0" w:after="0"/>
        <w:ind w:left="0" w:right="0" w:firstLine="300"/>
        <w:jc w:val="both"/>
        <w:rPr/>
      </w:pPr>
      <w:r>
        <w:rPr>
          <w:color w:val="000000"/>
          <w:spacing w:val="0"/>
          <w:w w:val="100"/>
          <w:shd w:fill="auto" w:val="clear"/>
          <w:lang w:val="en-US" w:eastAsia="en-US" w:bidi="en-US"/>
        </w:rPr>
        <w:t>Wie bereits angedeutet, ist Greens Analysemethode natürlich nicht im geringsten empirisch, und seine diesbezüglichen Vorschläge leiten sich nicht in erster Linie von einer Untersuchung tatsächlicher Ereignisse ab, sondern sind eher von einem weiteren noch zu diskutierenden Argument abgeleitet; Der Punkt bei der Erhebung dieser empirischen Einwände besteht darin, den Grad anzuzeigen, in dem die Behauptungen von Beobachtungssätzen getrennt und von diesem späteren Argument abhängig sind. Die Verschmelzung von Staat und Gesellschaft ist ein Teil des Wandels von Grün, dem liberalen Individualisten, zu Grün, dem „Etatisten“, aber sie ist nicht der Grund für diesen Wandel.</w:t>
      </w:r>
    </w:p>
    <w:p>
      <w:pPr>
        <w:pStyle w:val="Flietext1"/>
        <w:keepNext w:val="false"/>
        <w:keepLines w:val="false"/>
        <w:widowControl w:val="false"/>
        <w:shd w:val="clear" w:color="auto" w:fill="auto"/>
        <w:bidi w:val="0"/>
        <w:spacing w:before="0" w:after="280"/>
        <w:ind w:left="0" w:right="0" w:firstLine="300"/>
        <w:jc w:val="both"/>
        <w:rPr/>
      </w:pPr>
      <w:r>
        <w:rPr>
          <w:color w:val="000000"/>
          <w:spacing w:val="0"/>
          <w:w w:val="100"/>
          <w:shd w:fill="auto" w:val="clear"/>
          <w:lang w:val="en-US" w:eastAsia="en-US" w:bidi="en-US"/>
        </w:rPr>
        <w:t>Ein weiterer Schritt im Übergang zu dieser weiteren Argumentation ist die Identifikation des Staates (als Komplex von Institutionen) mit moralischem Fortschritt; die Verkörperung moralischer Ideen in Gesetzen und Institutionen stellt den moralischen Fortschritt der Menschheit dar.599 Er argumentiert dies unter der Überschrift „Wille, nicht Zwang, ist die Grundlage des Staates“,600 eine Diskussion, die größtenteils aus einer Reihe von Argumenten besteht, die er selbst vorbringt gegen seinen eigenen Vorschlag. Er geht von der vereinfachten Betrachtung der Gesellschaft als (eines einzigen) Institutionenkomplexes aus und identifiziert den Staat geradezu mit diesem Komplex. Dann formuliert er die Theorie der Zustimmung der Regierten wie folgt um:</w:t>
      </w:r>
    </w:p>
    <w:p>
      <w:pPr>
        <w:pStyle w:val="Flietext1"/>
        <w:keepNext w:val="false"/>
        <w:keepLines w:val="false"/>
        <w:widowControl w:val="false"/>
        <w:shd w:val="clear" w:color="auto" w:fill="auto"/>
        <w:bidi w:val="0"/>
        <w:spacing w:lineRule="auto" w:line="252" w:before="0" w:after="280"/>
        <w:ind w:left="240" w:right="0" w:firstLine="380"/>
        <w:jc w:val="both"/>
        <w:rPr/>
      </w:pPr>
      <w:r>
        <w:rPr>
          <w:color w:val="000000"/>
          <w:spacing w:val="0"/>
          <w:w w:val="100"/>
          <w:shd w:fill="auto" w:val="clear"/>
          <w:vertAlign w:val="superscript"/>
          <w:lang w:val="en-US" w:eastAsia="en-US" w:bidi="en-US"/>
        </w:rPr>
        <w:t>dass die Institutionen, durch die der Mensch moralisiert wird, durch die er dazu kommt, das zu tun, was er sehen muss, im Unterschied zu dem, was er möchte, eine Vorstellung vom Gemeinwohl ausdrücken.601</w:t>
      </w:r>
    </w:p>
    <w:p>
      <w:pPr>
        <w:pStyle w:val="Flietext21"/>
        <w:keepNext w:val="false"/>
        <w:keepLines w:val="false"/>
        <w:widowControl w:val="false"/>
        <w:numPr>
          <w:ilvl w:val="0"/>
          <w:numId w:val="54"/>
        </w:numPr>
        <w:shd w:val="clear" w:color="auto" w:fill="auto"/>
        <w:tabs>
          <w:tab w:val="clear" w:pos="720"/>
          <w:tab w:val="left" w:pos="639" w:leader="none"/>
        </w:tabs>
        <w:bidi w:val="0"/>
        <w:spacing w:lineRule="auto" w:line="240" w:before="0" w:after="0"/>
        <w:ind w:left="0" w:right="0" w:firstLine="240"/>
        <w:jc w:val="left"/>
        <w:rPr/>
      </w:pPr>
      <w:r>
        <w:rPr>
          <w:color w:val="000000"/>
          <w:spacing w:val="0"/>
          <w:w w:val="100"/>
          <w:shd w:fill="auto" w:val="clear"/>
          <w:lang w:val="en-US" w:eastAsia="en-US" w:bidi="en-US"/>
        </w:rPr>
        <w:t>Howard Jones, Crime in a Changing Society (Harmondsworth, England: 1965), p. 33.</w:t>
      </w:r>
    </w:p>
    <w:p>
      <w:pPr>
        <w:pStyle w:val="Flietext21"/>
        <w:keepNext w:val="false"/>
        <w:keepLines w:val="false"/>
        <w:widowControl w:val="false"/>
        <w:numPr>
          <w:ilvl w:val="0"/>
          <w:numId w:val="54"/>
        </w:numPr>
        <w:shd w:val="clear" w:color="auto" w:fill="auto"/>
        <w:tabs>
          <w:tab w:val="clear" w:pos="720"/>
          <w:tab w:val="left" w:pos="639" w:leader="none"/>
        </w:tabs>
        <w:bidi w:val="0"/>
        <w:spacing w:before="0" w:after="200"/>
        <w:ind w:left="0" w:right="0" w:firstLine="240"/>
        <w:jc w:val="left"/>
        <w:rPr/>
      </w:pPr>
      <w:r>
        <w:rPr>
          <w:color w:val="000000"/>
          <w:spacing w:val="0"/>
          <w:w w:val="100"/>
          <w:shd w:fill="auto" w:val="clear"/>
          <w:lang w:val="en-US" w:eastAsia="en-US" w:bidi="en-US"/>
        </w:rPr>
        <w:t>Grün, Politische Verpflichtung, Abschnitt Nr. 6.</w:t>
      </w:r>
    </w:p>
    <w:p>
      <w:pPr>
        <w:pStyle w:val="Flietext1"/>
        <w:keepNext w:val="false"/>
        <w:keepLines w:val="false"/>
        <w:widowControl w:val="false"/>
        <w:shd w:val="clear" w:color="auto" w:fill="auto"/>
        <w:bidi w:val="0"/>
        <w:spacing w:lineRule="auto" w:line="252" w:before="0" w:after="280"/>
        <w:ind w:left="0" w:right="0" w:hanging="0"/>
        <w:jc w:val="both"/>
        <w:rPr/>
      </w:pPr>
      <w:r>
        <w:rPr>
          <w:color w:val="000000"/>
          <w:spacing w:val="0"/>
          <w:w w:val="100"/>
          <w:shd w:fill="auto" w:val="clear"/>
          <w:lang w:val="en-US" w:eastAsia="en-US" w:bidi="en-US"/>
        </w:rPr>
        <w:t>(Dies erscheint eher in der Reihenfolge der direkten Ablehnung als der einfachen Umformulierung, aber egal.) Dann fragt er weiter: „Wessen Vorstellung vom Allgemeinwohl ist es dann, dass diese Institutionen vertreten?“602 und räumt ein, dass dies nicht der Fall ist die der Mehrheit der Mitglieder, weil:</w:t>
      </w:r>
    </w:p>
    <w:p>
      <w:pPr>
        <w:pStyle w:val="Flietext1"/>
        <w:keepNext w:val="false"/>
        <w:keepLines w:val="false"/>
        <w:widowControl w:val="false"/>
        <w:shd w:val="clear" w:color="auto" w:fill="auto"/>
        <w:bidi w:val="0"/>
        <w:spacing w:lineRule="auto" w:line="252" w:before="0" w:after="280"/>
        <w:ind w:left="240" w:right="0" w:firstLine="380"/>
        <w:jc w:val="left"/>
        <w:rPr/>
      </w:pPr>
      <w:r>
        <w:rPr>
          <w:color w:val="000000"/>
          <w:spacing w:val="0"/>
          <w:w w:val="100"/>
          <w:shd w:fill="auto" w:val="clear"/>
          <w:vertAlign w:val="superscript"/>
          <w:lang w:val="en-US" w:eastAsia="en-US" w:bidi="en-US"/>
        </w:rPr>
        <w:t>sie (gehorchen), weil sie dazu gebracht werden oder dazu gekommen sind, weil sie lange dazu gezwungen wurden; (d.h. aus Angst vor den Folgen der Nichtkonformität ... Folgen, die der Staat zufügt, künstliche Folgen)603</w:t>
      </w:r>
    </w:p>
    <w:p>
      <w:pPr>
        <w:pStyle w:val="Flietext1"/>
        <w:keepNext w:val="false"/>
        <w:keepLines w:val="false"/>
        <w:widowControl w:val="false"/>
        <w:shd w:val="clear" w:color="auto" w:fill="auto"/>
        <w:bidi w:val="0"/>
        <w:spacing w:before="0" w:after="280"/>
        <w:ind w:left="0" w:right="0" w:hanging="0"/>
        <w:jc w:val="left"/>
        <w:rPr/>
      </w:pPr>
      <w:r>
        <w:rPr>
          <w:color w:val="000000"/>
          <w:spacing w:val="0"/>
          <w:w w:val="100"/>
          <w:shd w:fill="auto" w:val="clear"/>
          <w:lang w:val="en-US" w:eastAsia="en-US" w:bidi="en-US"/>
        </w:rPr>
        <w:t>und dann geht er noch weiter zurück und gibt zu:</w:t>
      </w:r>
    </w:p>
    <w:p>
      <w:pPr>
        <w:pStyle w:val="Flietext1"/>
        <w:keepNext w:val="false"/>
        <w:keepLines w:val="false"/>
        <w:widowControl w:val="false"/>
        <w:shd w:val="clear" w:color="auto" w:fill="auto"/>
        <w:bidi w:val="0"/>
        <w:spacing w:before="0" w:after="260"/>
        <w:ind w:left="240" w:right="0" w:firstLine="380"/>
        <w:jc w:val="left"/>
        <w:rPr/>
      </w:pPr>
      <w:r>
        <w:rPr>
          <w:color w:val="000000"/>
          <w:spacing w:val="0"/>
          <w:w w:val="100"/>
          <w:shd w:fill="auto" w:val="clear"/>
          <w:vertAlign w:val="superscript"/>
          <w:lang w:val="en-US" w:eastAsia="en-US" w:bidi="en-US"/>
        </w:rPr>
        <w:t>Die Idee eines Gemeinwohls, das der Staat erfüllt, war nie der einzige Einfluss, der diejenigen aktivierte, die an dem historischen Prozess beteiligt waren, durch den Staaten gebildet wurden.604</w:t>
      </w:r>
    </w:p>
    <w:p>
      <w:pPr>
        <w:pStyle w:val="Flietext1"/>
        <w:keepNext w:val="false"/>
        <w:keepLines w:val="false"/>
        <w:widowControl w:val="false"/>
        <w:shd w:val="clear" w:color="auto" w:fill="auto"/>
        <w:bidi w:val="0"/>
        <w:spacing w:before="0" w:after="260"/>
        <w:ind w:left="0" w:right="0" w:hanging="0"/>
        <w:jc w:val="both"/>
        <w:rPr/>
      </w:pPr>
      <w:r>
        <w:rPr>
          <w:color w:val="000000"/>
          <w:spacing w:val="0"/>
          <w:w w:val="100"/>
          <w:shd w:fill="auto" w:val="clear"/>
          <w:lang w:val="en-US" w:eastAsia="en-US" w:bidi="en-US"/>
        </w:rPr>
        <w:t>Selbst wenn der Wille und nicht die Gewalt die Grundlage des Staates ist, hat Gewalt sicherlich bei der Gründung von Staaten mitgewirkt und ist immer noch präsent in den riesigen Streitkräften und Polizeikräften, die der Staat offen unterhält, um sie zu schützen sich vor äußeren und inneren Feinden. Seine Antwort darauf lautet:</w:t>
      </w:r>
    </w:p>
    <w:p>
      <w:pPr>
        <w:pStyle w:val="Flietext1"/>
        <w:keepNext w:val="false"/>
        <w:keepLines w:val="false"/>
        <w:widowControl w:val="false"/>
        <w:shd w:val="clear" w:color="auto" w:fill="auto"/>
        <w:bidi w:val="0"/>
        <w:spacing w:lineRule="auto" w:line="252" w:before="0" w:after="220"/>
        <w:ind w:left="240" w:right="0" w:firstLine="380"/>
        <w:jc w:val="left"/>
        <w:rPr/>
      </w:pPr>
      <w:r>
        <w:rPr>
          <w:color w:val="000000"/>
          <w:spacing w:val="0"/>
          <w:w w:val="100"/>
          <w:shd w:fill="auto" w:val="clear"/>
          <w:vertAlign w:val="superscript"/>
          <w:lang w:val="en-US" w:eastAsia="en-US" w:bidi="en-US"/>
        </w:rPr>
        <w:t>Wie notwendig auch immer ein Faktor Kraft in dem Prozess gewesen sein mag, durch den Staaten gebildet und umgewandelt wurden, es war nur ein Faktor wie die Zusammenarbeit mit jenen Ideen, ohne die solche Rechte nicht existieren könnten.605</w:t>
      </w:r>
    </w:p>
    <w:p>
      <w:pPr>
        <w:pStyle w:val="Flietext21"/>
        <w:keepNext w:val="false"/>
        <w:keepLines w:val="false"/>
        <w:widowControl w:val="false"/>
        <w:numPr>
          <w:ilvl w:val="0"/>
          <w:numId w:val="54"/>
        </w:numPr>
        <w:shd w:val="clear" w:color="auto" w:fill="auto"/>
        <w:tabs>
          <w:tab w:val="clear" w:pos="720"/>
          <w:tab w:val="left" w:pos="671" w:leader="none"/>
        </w:tabs>
        <w:bidi w:val="0"/>
        <w:spacing w:lineRule="auto" w:line="240" w:before="0" w:after="0"/>
        <w:ind w:left="0" w:right="0" w:firstLine="240"/>
        <w:jc w:val="left"/>
        <w:rPr/>
      </w:pPr>
      <w:r>
        <w:rPr>
          <w:color w:val="000000"/>
          <w:spacing w:val="0"/>
          <w:w w:val="100"/>
          <w:shd w:fill="auto" w:val="clear"/>
          <w:lang w:val="en-US" w:eastAsia="en-US" w:bidi="en-US"/>
        </w:rPr>
        <w:t>Ebenda, Abschnitt G.</w:t>
      </w:r>
    </w:p>
    <w:p>
      <w:pPr>
        <w:pStyle w:val="Flietext21"/>
        <w:keepNext w:val="false"/>
        <w:keepLines w:val="false"/>
        <w:widowControl w:val="false"/>
        <w:numPr>
          <w:ilvl w:val="0"/>
          <w:numId w:val="54"/>
        </w:numPr>
        <w:shd w:val="clear" w:color="auto" w:fill="auto"/>
        <w:tabs>
          <w:tab w:val="clear" w:pos="720"/>
          <w:tab w:val="left" w:pos="671" w:leader="none"/>
        </w:tabs>
        <w:bidi w:val="0"/>
        <w:spacing w:lineRule="auto" w:line="240" w:before="0" w:after="0"/>
        <w:ind w:left="0" w:right="0" w:firstLine="240"/>
        <w:jc w:val="left"/>
        <w:rPr/>
      </w:pPr>
      <w:r>
        <w:rPr>
          <w:color w:val="000000"/>
          <w:spacing w:val="0"/>
          <w:w w:val="100"/>
          <w:shd w:fill="auto" w:val="clear"/>
          <w:lang w:val="en-US" w:eastAsia="en-US" w:bidi="en-US"/>
        </w:rPr>
        <w:t>Ebenda, Abschnitt #116.</w:t>
      </w:r>
    </w:p>
    <w:p>
      <w:pPr>
        <w:pStyle w:val="Flietext21"/>
        <w:keepNext w:val="false"/>
        <w:keepLines w:val="false"/>
        <w:widowControl w:val="false"/>
        <w:numPr>
          <w:ilvl w:val="0"/>
          <w:numId w:val="54"/>
        </w:numPr>
        <w:shd w:val="clear" w:color="auto" w:fill="auto"/>
        <w:tabs>
          <w:tab w:val="clear" w:pos="720"/>
          <w:tab w:val="left" w:pos="671" w:leader="none"/>
        </w:tabs>
        <w:bidi w:val="0"/>
        <w:spacing w:lineRule="auto" w:line="220" w:before="0" w:after="0"/>
        <w:ind w:left="0" w:right="0" w:firstLine="240"/>
        <w:jc w:val="left"/>
        <w:rPr/>
      </w:pPr>
      <w:r>
        <w:rPr>
          <w:color w:val="000000"/>
          <w:spacing w:val="0"/>
          <w:w w:val="100"/>
          <w:shd w:fill="auto" w:val="clear"/>
          <w:lang w:val="en-US" w:eastAsia="en-US" w:bidi="en-US"/>
        </w:rPr>
        <w:t>Ebenda, Abschnitt #120.</w:t>
      </w:r>
    </w:p>
    <w:p>
      <w:pPr>
        <w:pStyle w:val="Flietext21"/>
        <w:keepNext w:val="false"/>
        <w:keepLines w:val="false"/>
        <w:widowControl w:val="false"/>
        <w:numPr>
          <w:ilvl w:val="0"/>
          <w:numId w:val="54"/>
        </w:numPr>
        <w:shd w:val="clear" w:color="auto" w:fill="auto"/>
        <w:tabs>
          <w:tab w:val="clear" w:pos="720"/>
          <w:tab w:val="left" w:pos="671" w:leader="none"/>
        </w:tabs>
        <w:bidi w:val="0"/>
        <w:spacing w:lineRule="auto" w:line="204" w:before="0" w:after="0"/>
        <w:ind w:left="0" w:right="0" w:firstLine="240"/>
        <w:jc w:val="left"/>
        <w:rPr/>
      </w:pPr>
      <w:r>
        <w:rPr>
          <w:i/>
          <w:iCs/>
          <w:color w:val="000000"/>
          <w:spacing w:val="0"/>
          <w:w w:val="100"/>
          <w:shd w:fill="auto" w:val="clear"/>
          <w:lang w:val="en-US" w:eastAsia="en-US" w:bidi="en-US"/>
        </w:rPr>
        <w:t>Ebenda.</w:t>
      </w:r>
    </w:p>
    <w:p>
      <w:pPr>
        <w:pStyle w:val="Flietext21"/>
        <w:keepNext w:val="false"/>
        <w:keepLines w:val="false"/>
        <w:widowControl w:val="false"/>
        <w:numPr>
          <w:ilvl w:val="0"/>
          <w:numId w:val="54"/>
        </w:numPr>
        <w:shd w:val="clear" w:color="auto" w:fill="auto"/>
        <w:tabs>
          <w:tab w:val="clear" w:pos="720"/>
          <w:tab w:val="left" w:pos="671" w:leader="none"/>
        </w:tabs>
        <w:bidi w:val="0"/>
        <w:spacing w:lineRule="auto" w:line="240" w:before="0" w:after="220"/>
        <w:ind w:left="0" w:right="0" w:firstLine="240"/>
        <w:jc w:val="left"/>
        <w:rPr/>
      </w:pPr>
      <w:r>
        <w:rPr>
          <w:color w:val="000000"/>
          <w:spacing w:val="0"/>
          <w:w w:val="100"/>
          <w:shd w:fill="auto" w:val="clear"/>
          <w:lang w:val="en-US" w:eastAsia="en-US" w:bidi="en-US"/>
        </w:rPr>
        <w:t>Ebenda, Abschnitt #121.</w:t>
      </w:r>
    </w:p>
    <w:p>
      <w:pPr>
        <w:pStyle w:val="Flietext1"/>
        <w:keepNext w:val="false"/>
        <w:keepLines w:val="false"/>
        <w:widowControl w:val="false"/>
        <w:shd w:val="clear" w:color="auto" w:fill="auto"/>
        <w:bidi w:val="0"/>
        <w:spacing w:before="0" w:after="0"/>
        <w:ind w:left="0" w:right="0" w:hanging="0"/>
        <w:jc w:val="both"/>
        <w:rPr/>
      </w:pPr>
      <w:r>
        <w:rPr>
          <w:color w:val="000000"/>
          <w:spacing w:val="0"/>
          <w:w w:val="100"/>
          <w:shd w:fill="auto" w:val="clear"/>
          <w:lang w:val="en-US" w:eastAsia="en-US" w:bidi="en-US"/>
        </w:rPr>
        <w:t>Diese „Ideen“, auf die er sich bezieht, sind die Vorstellung eines Gemeinwohls,606 also haben wir noch keinen Beweis, sondern nur einen Kreis.</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Um es zusammenzufassen, obwohl es für seine Argumentation grundlegend ist, dass der Staat auf einer Vorstellung vom Gemeinwohl gründet, ist die Vorstellung weder die der Massen noch die der aktiven Akteure im historischen Prozess. Vielmehr handelt es sich, wie später noch ausgeführt wird, um den „Zeitgeist ; dadurch, dass die operative konzeption des gemeinwohls nicht von einem bestimmten individuum getragen werden muss, sondern nur von einem „zeitgeist“ verkörpert wird, werden die individualistischen prämissen der früheren stadien seiner argumentation erheblich unterminiert.</w:t>
      </w:r>
    </w:p>
    <w:p>
      <w:pPr>
        <w:pStyle w:val="Flietext1"/>
        <w:keepNext w:val="false"/>
        <w:keepLines w:val="false"/>
        <w:widowControl w:val="false"/>
        <w:shd w:val="clear" w:color="auto" w:fill="auto"/>
        <w:bidi w:val="0"/>
        <w:spacing w:before="0" w:after="260"/>
        <w:ind w:left="0" w:right="0" w:firstLine="280"/>
        <w:jc w:val="both"/>
        <w:rPr/>
      </w:pPr>
      <w:r>
        <w:rPr>
          <w:color w:val="000000"/>
          <w:spacing w:val="0"/>
          <w:w w:val="100"/>
          <w:shd w:fill="auto" w:val="clear"/>
          <w:lang w:val="en-US" w:eastAsia="en-US" w:bidi="en-US"/>
        </w:rPr>
        <w:t>Als letzte Stütze führt er das Argument an, dass Rechte nicht nur aus irgendeiner Vorstellung von Gemeinwohl entstehen, sondern aus dem Staat, denn ohne den Staat könnten Rechte nicht existieren; wie er jetzt argumentiert, „es gibt kein Recht, aber das Denken macht es dazu.“607 Wenn dies eine unbeholfene Formulierung der Vorstellung ist, dass es keine Rechte gibt, es sei denn, sie sind einem bestimmten Niveau moralischer/rationaler Entwicklung angemessen, wobei Bewusstsein ist ein Merkmal dieser Entwicklung, dann ist es nur plump und verwirrend und nicht wichtig; Der allgemeine Ton der Argumentation macht jedoch deutlich, dass er sich in dieser Äußerung auf positive Rechte beziehen will, staatlich anerkannte Rechte, und verneint damit einfach seine gesamte Argumentation zu den Naturrechten, in der er bereit ist zu argumentieren, dass es solche gibt „Rechte, die Rechte bleiben, obwohl ein bestimmter Staat oder alle Staaten sich weigern, sie anzuerkennen“568 und seine eigene Argumentation gegen die Sklaverei ernsthaft kompromittiert. (Gleichzeitig möchte Green argumentieren, dass der Einzelne keine Rechte gegenüber seinem eigenen Staat haben kann,569 nur Rechte gegenüber anderen Staaten,570 und Rechte, die alle Staaten anerkennen sollten, und sogar Rechte, die per Gesetz aufrechterhalten werden sollten611, obwohl es sie gibt ist kein Recht, aber das Denken und die staatliche Anerkennung machen es dazu. Die ganze Argumentation ist konfus und zusammenhanglos.)</w:t>
      </w:r>
    </w:p>
    <w:p>
      <w:pPr>
        <w:pStyle w:val="Flietext21"/>
        <w:keepNext w:val="false"/>
        <w:keepLines w:val="false"/>
        <w:widowControl w:val="false"/>
        <w:numPr>
          <w:ilvl w:val="0"/>
          <w:numId w:val="54"/>
        </w:numPr>
        <w:shd w:val="clear" w:color="auto" w:fill="auto"/>
        <w:tabs>
          <w:tab w:val="clear" w:pos="720"/>
          <w:tab w:val="left" w:pos="639" w:leader="none"/>
        </w:tabs>
        <w:bidi w:val="0"/>
        <w:spacing w:lineRule="auto" w:line="240" w:before="0" w:after="0"/>
        <w:ind w:left="0" w:right="0" w:firstLine="240"/>
        <w:jc w:val="left"/>
        <w:rPr/>
      </w:pPr>
      <w:r>
        <w:rPr>
          <w:color w:val="000000"/>
          <w:spacing w:val="0"/>
          <w:w w:val="100"/>
          <w:shd w:fill="auto" w:val="clear"/>
          <w:lang w:val="en-US" w:eastAsia="en-US" w:bidi="en-US"/>
        </w:rPr>
        <w:t>Ebenda, Abschnitt #136.</w:t>
      </w:r>
    </w:p>
    <w:p>
      <w:pPr>
        <w:pStyle w:val="Flietext21"/>
        <w:keepNext w:val="false"/>
        <w:keepLines w:val="false"/>
        <w:widowControl w:val="false"/>
        <w:numPr>
          <w:ilvl w:val="0"/>
          <w:numId w:val="54"/>
        </w:numPr>
        <w:shd w:val="clear" w:color="auto" w:fill="auto"/>
        <w:tabs>
          <w:tab w:val="clear" w:pos="720"/>
          <w:tab w:val="left" w:pos="639" w:leader="none"/>
        </w:tabs>
        <w:bidi w:val="0"/>
        <w:spacing w:before="0" w:after="0"/>
        <w:ind w:left="0" w:right="0" w:firstLine="240"/>
        <w:jc w:val="left"/>
        <w:rPr/>
      </w:pPr>
      <w:r>
        <w:rPr>
          <w:color w:val="000000"/>
          <w:spacing w:val="0"/>
          <w:w w:val="100"/>
          <w:shd w:fill="auto" w:val="clear"/>
          <w:lang w:val="en-US" w:eastAsia="en-US" w:bidi="en-US"/>
        </w:rPr>
        <w:t>Ebenda, Abschnitt #26.</w:t>
      </w:r>
    </w:p>
    <w:p>
      <w:pPr>
        <w:pStyle w:val="Flietext21"/>
        <w:keepNext w:val="false"/>
        <w:keepLines w:val="false"/>
        <w:widowControl w:val="false"/>
        <w:numPr>
          <w:ilvl w:val="0"/>
          <w:numId w:val="54"/>
        </w:numPr>
        <w:shd w:val="clear" w:color="auto" w:fill="auto"/>
        <w:tabs>
          <w:tab w:val="clear" w:pos="720"/>
          <w:tab w:val="left" w:pos="639" w:leader="none"/>
        </w:tabs>
        <w:bidi w:val="0"/>
        <w:spacing w:lineRule="auto" w:line="220" w:before="0" w:after="200"/>
        <w:ind w:left="0" w:right="0" w:firstLine="240"/>
        <w:jc w:val="left"/>
        <w:rPr/>
      </w:pPr>
      <w:r>
        <w:rPr>
          <w:color w:val="000000"/>
          <w:spacing w:val="0"/>
          <w:w w:val="100"/>
          <w:shd w:fill="auto" w:val="clear"/>
          <w:lang w:val="en-US" w:eastAsia="en-US" w:bidi="en-US"/>
        </w:rPr>
        <w:t>Ebenda, Abschnitt #136.</w:t>
      </w:r>
    </w:p>
    <w:p>
      <w:pPr>
        <w:pStyle w:val="Flietext1"/>
        <w:keepNext w:val="false"/>
        <w:keepLines w:val="false"/>
        <w:widowControl w:val="false"/>
        <w:shd w:val="clear" w:color="auto" w:fill="auto"/>
        <w:bidi w:val="0"/>
        <w:spacing w:before="0" w:after="260"/>
        <w:ind w:left="0" w:right="0" w:firstLine="280"/>
        <w:jc w:val="both"/>
        <w:rPr/>
      </w:pPr>
      <w:r>
        <w:rPr>
          <w:color w:val="000000"/>
          <w:spacing w:val="0"/>
          <w:w w:val="100"/>
          <w:shd w:fill="auto" w:val="clear"/>
          <w:lang w:val="en-US" w:eastAsia="en-US" w:bidi="en-US"/>
        </w:rPr>
        <w:t>Um das Offensichtliche noch einmal zu betonen, an dieser Behauptung ist nichts Empirisches. Denker wie Freud und le Bon haben auf die irrationalen Aspekte des Gruppen- oder Massenverhaltens hingewiesen, und wie Ricci betont:</w:t>
      </w:r>
    </w:p>
    <w:p>
      <w:pPr>
        <w:pStyle w:val="Flietext1"/>
        <w:keepNext w:val="false"/>
        <w:keepLines w:val="false"/>
        <w:widowControl w:val="false"/>
        <w:shd w:val="clear" w:color="auto" w:fill="auto"/>
        <w:bidi w:val="0"/>
        <w:spacing w:lineRule="auto" w:line="240" w:before="0" w:after="260"/>
        <w:ind w:left="240" w:right="0" w:firstLine="380"/>
        <w:jc w:val="left"/>
        <w:rPr/>
      </w:pPr>
      <w:r>
        <w:rPr>
          <w:color w:val="000000"/>
          <w:spacing w:val="0"/>
          <w:w w:val="100"/>
          <w:shd w:fill="auto" w:val="clear"/>
          <w:vertAlign w:val="superscript"/>
          <w:lang w:val="en-US" w:eastAsia="en-US" w:bidi="en-US"/>
        </w:rPr>
        <w:t>es gibt wenig in der Politik, das von Massen unberührt bleibt, und daher gibt es wenig in der Politik, das von kollektivem Rückfall in Impuls und Irrationalität unberührt bleibt612</w:t>
      </w:r>
    </w:p>
    <w:p>
      <w:pPr>
        <w:pStyle w:val="Flietext1"/>
        <w:keepNext w:val="false"/>
        <w:keepLines w:val="false"/>
        <w:widowControl w:val="false"/>
        <w:shd w:val="clear" w:color="auto" w:fill="auto"/>
        <w:bidi w:val="0"/>
        <w:spacing w:before="0" w:after="0"/>
        <w:ind w:left="0" w:right="0" w:hanging="0"/>
        <w:jc w:val="both"/>
        <w:rPr/>
      </w:pPr>
      <w:r>
        <w:rPr>
          <w:color w:val="000000"/>
          <w:spacing w:val="0"/>
          <w:w w:val="100"/>
          <w:shd w:fill="auto" w:val="clear"/>
          <w:lang w:val="en-US" w:eastAsia="en-US" w:bidi="en-US"/>
        </w:rPr>
        <w:t>Obwohl es aus empirischen Gründen nicht notwendig ist, einen vollständigen Pessimismus anzunehmen, indem man behauptet, dass ein Kollektiv niemals zu rationalem Handeln fähig ist, ist die Möglichkeit eines Rückfalls in die Irrationalität so real, dass das Individuum keinen Grund hat, sich automatisch einer auftretenden Gruppenentscheidung zu beugen moralisch zweifelhaft. Die Grundlage für Greens Behauptung ist also eine ganz andere.</w:t>
      </w:r>
    </w:p>
    <w:p>
      <w:pPr>
        <w:pStyle w:val="Flietext1"/>
        <w:keepNext w:val="false"/>
        <w:keepLines w:val="false"/>
        <w:widowControl w:val="false"/>
        <w:shd w:val="clear" w:color="auto" w:fill="auto"/>
        <w:bidi w:val="0"/>
        <w:spacing w:before="0" w:after="260"/>
        <w:ind w:left="0" w:right="0" w:firstLine="280"/>
        <w:jc w:val="both"/>
        <w:rPr/>
      </w:pPr>
      <w:r>
        <w:rPr>
          <w:color w:val="000000"/>
          <w:spacing w:val="0"/>
          <w:w w:val="100"/>
          <w:shd w:fill="auto" w:val="clear"/>
          <w:lang w:val="en-US" w:eastAsia="en-US" w:bidi="en-US"/>
        </w:rPr>
        <w:t>Die Grundlage für diese und andere Behauptungen sind eine Reihe miteinander verbundener und ziemlich umfassender Geschichtstheorien; An entscheidenden Stellen seiner Argumentation neigt Green dazu, auf historische Verallgemeinerungen zweifelhafter Art zurückzugreifen, und obwohl er sie selbst eher beiläufig einführt, sind sie für seine Argumentation so wichtig, dass ihre Zurückweisung oder Anfechtung einem ernsthaften Kompromiss gleichkommt, wenn nicht völlig zu zerstören, seine endgültige Position.</w:t>
      </w:r>
    </w:p>
    <w:p>
      <w:pPr>
        <w:pStyle w:val="Flietext21"/>
        <w:keepNext w:val="false"/>
        <w:keepLines w:val="false"/>
        <w:widowControl w:val="false"/>
        <w:numPr>
          <w:ilvl w:val="0"/>
          <w:numId w:val="55"/>
        </w:numPr>
        <w:shd w:val="clear" w:color="auto" w:fill="auto"/>
        <w:tabs>
          <w:tab w:val="clear" w:pos="720"/>
          <w:tab w:val="left" w:pos="634" w:leader="none"/>
        </w:tabs>
        <w:bidi w:val="0"/>
        <w:spacing w:lineRule="auto" w:line="192" w:before="0" w:after="0"/>
        <w:ind w:left="0" w:right="0" w:firstLine="240"/>
        <w:jc w:val="left"/>
        <w:rPr/>
      </w:pPr>
      <w:r>
        <w:rPr>
          <w:color w:val="000000"/>
          <w:spacing w:val="0"/>
          <w:w w:val="100"/>
          <w:shd w:fill="auto" w:val="clear"/>
          <w:lang w:val="en-US" w:eastAsia="en-US" w:bidi="en-US"/>
        </w:rPr>
        <w:t>Ebenda, Abschnitt #9.</w:t>
      </w:r>
    </w:p>
    <w:p>
      <w:pPr>
        <w:pStyle w:val="Flietext21"/>
        <w:keepNext w:val="false"/>
        <w:keepLines w:val="false"/>
        <w:widowControl w:val="false"/>
        <w:numPr>
          <w:ilvl w:val="0"/>
          <w:numId w:val="55"/>
        </w:numPr>
        <w:shd w:val="clear" w:color="auto" w:fill="auto"/>
        <w:tabs>
          <w:tab w:val="clear" w:pos="720"/>
          <w:tab w:val="left" w:pos="625" w:leader="none"/>
        </w:tabs>
        <w:bidi w:val="0"/>
        <w:spacing w:lineRule="auto" w:line="216" w:before="0" w:after="200"/>
        <w:ind w:left="0" w:right="0" w:firstLine="300"/>
        <w:jc w:val="both"/>
        <w:rPr/>
      </w:pPr>
      <w:r>
        <w:rPr>
          <w:color w:val="000000"/>
          <w:spacing w:val="0"/>
          <w:w w:val="100"/>
          <w:shd w:fill="auto" w:val="clear"/>
          <w:lang w:val="en-US" w:eastAsia="en-US" w:bidi="en-US"/>
        </w:rPr>
        <w:t>David M. Ricci, „Democracy Attenuated: Schumpeter, The Process Theory and American Democratic Thought“, in The Journal of Politics Vol. 3, No. XXXII, Nr. 2 (Mai 1970), p. 249.</w:t>
      </w:r>
    </w:p>
    <w:p>
      <w:pPr>
        <w:pStyle w:val="Flietext1"/>
        <w:keepNext w:val="false"/>
        <w:keepLines w:val="false"/>
        <w:widowControl w:val="false"/>
        <w:shd w:val="clear" w:color="auto" w:fill="auto"/>
        <w:bidi w:val="0"/>
        <w:spacing w:lineRule="auto" w:line="259" w:before="0" w:after="260"/>
        <w:ind w:left="0" w:right="0" w:firstLine="300"/>
        <w:jc w:val="both"/>
        <w:rPr/>
      </w:pPr>
      <w:r>
        <w:rPr>
          <w:color w:val="000000"/>
          <w:spacing w:val="0"/>
          <w:w w:val="100"/>
          <w:shd w:fill="auto" w:val="clear"/>
          <w:lang w:val="en-US" w:eastAsia="en-US" w:bidi="en-US"/>
        </w:rPr>
        <w:t>Eines der ersten Beispiele für Greens historisches Theoretisieren tritt auf, wenn er versucht, seine Sicht der Institutionen als Verkörperung eines Konzepts des Gemeinwohls mit der Tatsache in Einklang zu bringen, dass unmoralische Motive Handlungen verursacht haben, die diese Institutionen stark beeinflusst haben. Er erklärt:</w:t>
      </w:r>
    </w:p>
    <w:p>
      <w:pPr>
        <w:pStyle w:val="Flietext1"/>
        <w:keepNext w:val="false"/>
        <w:keepLines w:val="false"/>
        <w:widowControl w:val="false"/>
        <w:shd w:val="clear" w:color="auto" w:fill="auto"/>
        <w:bidi w:val="0"/>
        <w:spacing w:lineRule="auto" w:line="252" w:before="0" w:after="260"/>
        <w:ind w:left="240" w:right="0" w:firstLine="380"/>
        <w:jc w:val="left"/>
        <w:rPr/>
      </w:pPr>
      <w:r>
        <w:rPr>
          <w:color w:val="000000"/>
          <w:spacing w:val="0"/>
          <w:w w:val="100"/>
          <w:shd w:fill="auto" w:val="clear"/>
          <w:vertAlign w:val="superscript"/>
          <w:lang w:val="en-US" w:eastAsia="en-US" w:bidi="en-US"/>
        </w:rPr>
        <w:t>wir vergessen, wie weit (des Schauspielers) Beweggründe in Ansehung ihrer konkreten Wirklichkeit, in Ansehung der eigentlichen Natur der verfolgten Zwecke im Unterschied zu dem besonderen Verhältnis, in dem diese Zwecke zu seiner Persönlichkeit standen, ihm durch Einflüsse mit welchen gemacht wurden sein Egoismus hatte nichts damit zu tun.613</w:t>
      </w:r>
    </w:p>
    <w:p>
      <w:pPr>
        <w:pStyle w:val="Flietext1"/>
        <w:keepNext w:val="false"/>
        <w:keepLines w:val="false"/>
        <w:widowControl w:val="false"/>
        <w:shd w:val="clear" w:color="auto" w:fill="auto"/>
        <w:bidi w:val="0"/>
        <w:spacing w:lineRule="auto" w:line="240" w:before="0" w:after="0"/>
        <w:ind w:left="0" w:right="0" w:hanging="0"/>
        <w:jc w:val="left"/>
        <w:rPr/>
      </w:pPr>
      <w:r>
        <w:rPr>
          <w:color w:val="000000"/>
          <w:spacing w:val="0"/>
          <w:w w:val="100"/>
          <w:shd w:fill="auto" w:val="clear"/>
          <w:vertAlign w:val="superscript"/>
          <w:lang w:val="en-US" w:eastAsia="en-US" w:bidi="en-US"/>
        </w:rPr>
        <w:t>Oder kurz gesagt: „Handlungen von Menschen, die wir an sich für schlecht halten, werden für immer außer Kraft gesetzt.“614</w:t>
      </w:r>
    </w:p>
    <w:p>
      <w:pPr>
        <w:pStyle w:val="Flietext1"/>
        <w:keepNext w:val="false"/>
        <w:keepLines w:val="false"/>
        <w:widowControl w:val="false"/>
        <w:shd w:val="clear" w:color="auto" w:fill="auto"/>
        <w:bidi w:val="0"/>
        <w:spacing w:before="0" w:after="260"/>
        <w:ind w:left="0" w:right="0" w:firstLine="300"/>
        <w:jc w:val="both"/>
        <w:rPr/>
      </w:pPr>
      <w:r>
        <w:rPr>
          <w:color w:val="000000"/>
          <w:spacing w:val="0"/>
          <w:w w:val="100"/>
          <w:shd w:fill="auto" w:val="clear"/>
          <w:vertAlign w:val="superscript"/>
          <w:lang w:val="en-US" w:eastAsia="en-US" w:bidi="en-US"/>
        </w:rPr>
        <w:t>Gegen diese Argumentationslinie sind mehrere Einwände möglich. Erstens scheint es eine ziemlich zweifelhafte Übung in Willkür zu sein. Alle Handlungen, insbesondere auf der Ebene der Nationalstaaten und ihrer Herrscher, haben jede Menge Konsequenzen. Der Dreißigjährige Krieg führte sofort zu einer widerwilligen Akzeptanz von Toleranz und friedlicher Koexistenz zwischen Katholiken und Protestanten und verwandelte einen Großteil Deutschlands in eine Wüste, wodurch die deutsche Vereinigung so verzögert wurde, dass sie nur auf Kosten anderer Nationen erreicht werden konnte, wodurch die Kette geschaffen wurde von Ereignissen, die direkt zu den beiden Weltkriegen führten, von denen der zweite möglicherweise eine lebensfähige supranationale Organisation geschaffen hat oder nicht. War der Dreißigjährige Krieg also gut oder schlecht? Wurde der Egoismus einiger süddeutscher Führer endgültig überwunden? Oder können wir, da sich das Drama noch abspielt, schon sagen? Es stimmt natürlich, dass die Diskrepanz zwischen den Absichten eines Akteurs und den tatsächlichen Folgen seines Handelns oft so groß ist, dass wir dazu neigen, metaphysische Eingriffe zu akzeptieren – zum Beispiel, wenn Herold von Napoleons Einfluss auf die Geschichte spricht:615</w:t>
      </w:r>
    </w:p>
    <w:p>
      <w:pPr>
        <w:pStyle w:val="Flietext1"/>
        <w:keepNext w:val="false"/>
        <w:keepLines w:val="false"/>
        <w:widowControl w:val="false"/>
        <w:shd w:val="clear" w:color="auto" w:fill="auto"/>
        <w:bidi w:val="0"/>
        <w:spacing w:before="0" w:after="240"/>
        <w:ind w:left="240" w:right="0" w:firstLine="380"/>
        <w:jc w:val="left"/>
        <w:rPr/>
      </w:pPr>
      <w:r>
        <w:rPr>
          <w:color w:val="000000"/>
          <w:spacing w:val="0"/>
          <w:w w:val="100"/>
          <w:shd w:fill="auto" w:val="clear"/>
          <w:lang w:val="en-US" w:eastAsia="en-US" w:bidi="en-US"/>
        </w:rPr>
        <w:t>Napoleon war nicht erpicht darauf, Lateinamerika zu befreien; doch seine Aggression in Spanien hat genau das bewirkt. Es lag ihm nicht daran, aus den Vereinigten Staaten eine Weltmacht zu machen; doch sein Verkauf des Louisiana-Territoriums tat genau das. Er hatte keine Lust, die deutsche Einheit zu schaffen; doch indem er die Zahl der Souveränitäten von mehr als dreihundert auf sechsunddreißig reduzierte (um nützliche Marionettenstaaten zu schaffen, anstatt Deutschland zu nützen) und indem er den gegen ihn gerichteten deutschen Nationalismus schürte, tat er mehr als jeder andere für die deutsche Einheit Außer Bismarck. Es gibt keine Beweise dafür, dass er Italien vereinen wollte, aber er gab den Italienern gerade genug Vorgeschmack auf die nationale Unabhängigkeit, um das Risorgimento in Gang zu setzen. Er hatte nicht den Wunsch, die geistliche Macht des Papstes zu stärken, sondern versuchte stattdessen, den Gallikanismus zu fördern; Das Ergebnis, das er erreichte, war, den Gallikanismus für immer zu diskreditieren und dem Papsttum eine moralische Autorität zu verleihen, die es seit Jahrhunderten nicht mehr hatte. Das Letzte, was er tun wollte, war, die Institution der Monarchie zu untergraben, auf der er sein ganzes Gebäude gründete; Indem er Könige behandelte, als wären sie Postmeister, indem er den völligen moralischen Verfall der europäischen Monarchie demonstrierte, und durch seine eigene anachronistische kaiserliche Vermummung, versetzte Napoleon der Monarchie einen ebenso zerstörerischen Schlag wie der Henker, der Ludwig XIV. Enthauptete.</w:t>
      </w:r>
    </w:p>
    <w:p>
      <w:pPr>
        <w:pStyle w:val="Flietext21"/>
        <w:keepNext w:val="false"/>
        <w:keepLines w:val="false"/>
        <w:widowControl w:val="false"/>
        <w:numPr>
          <w:ilvl w:val="0"/>
          <w:numId w:val="55"/>
        </w:numPr>
        <w:shd w:val="clear" w:color="auto" w:fill="auto"/>
        <w:tabs>
          <w:tab w:val="clear" w:pos="720"/>
          <w:tab w:val="left" w:pos="639" w:leader="none"/>
        </w:tabs>
        <w:bidi w:val="0"/>
        <w:spacing w:lineRule="auto" w:line="240" w:before="0" w:after="0"/>
        <w:ind w:left="0" w:right="0" w:firstLine="240"/>
        <w:jc w:val="left"/>
        <w:rPr/>
      </w:pPr>
      <w:r>
        <w:rPr>
          <w:color w:val="000000"/>
          <w:spacing w:val="0"/>
          <w:w w:val="100"/>
          <w:shd w:fill="auto" w:val="clear"/>
          <w:lang w:val="en-US" w:eastAsia="en-US" w:bidi="en-US"/>
        </w:rPr>
        <w:t>Grün, Politische Verpflichtung, Abschnitt Nr. 129.</w:t>
      </w:r>
    </w:p>
    <w:p>
      <w:pPr>
        <w:pStyle w:val="Flietext1"/>
        <w:keepNext w:val="false"/>
        <w:keepLines w:val="false"/>
        <w:widowControl w:val="false"/>
        <w:numPr>
          <w:ilvl w:val="0"/>
          <w:numId w:val="55"/>
        </w:numPr>
        <w:shd w:val="clear" w:color="auto" w:fill="auto"/>
        <w:tabs>
          <w:tab w:val="clear" w:pos="720"/>
          <w:tab w:val="left" w:pos="639" w:leader="none"/>
        </w:tabs>
        <w:bidi w:val="0"/>
        <w:spacing w:lineRule="auto" w:line="196" w:before="0" w:after="200"/>
        <w:ind w:left="0" w:right="0" w:firstLine="240"/>
        <w:jc w:val="left"/>
        <w:rPr>
          <w:sz w:val="22"/>
          <w:szCs w:val="22"/>
        </w:rPr>
      </w:pPr>
      <w:r>
        <w:rPr>
          <w:color w:val="000000"/>
          <w:spacing w:val="0"/>
          <w:w w:val="100"/>
          <w:sz w:val="22"/>
          <w:szCs w:val="22"/>
          <w:shd w:fill="auto" w:val="clear"/>
          <w:lang w:val="en-US" w:eastAsia="en-US" w:bidi="en-US"/>
        </w:rPr>
        <w:t>Ebenda.</w:t>
      </w:r>
    </w:p>
    <w:p>
      <w:pPr>
        <w:pStyle w:val="Flietext1"/>
        <w:keepNext w:val="false"/>
        <w:keepLines w:val="false"/>
        <w:widowControl w:val="false"/>
        <w:shd w:val="clear" w:color="auto" w:fill="auto"/>
        <w:bidi w:val="0"/>
        <w:spacing w:before="0" w:after="0"/>
        <w:ind w:left="0" w:right="0" w:hanging="0"/>
        <w:jc w:val="both"/>
        <w:rPr/>
      </w:pPr>
      <w:r>
        <w:rPr>
          <w:color w:val="000000"/>
          <w:spacing w:val="0"/>
          <w:w w:val="100"/>
          <w:shd w:fill="auto" w:val="clear"/>
          <w:lang w:val="en-US" w:eastAsia="en-US" w:bidi="en-US"/>
        </w:rPr>
        <w:t>Es ist jedoch willkürlich und völlig unbefriedigend, dass Green einige Ereignisse isoliert und auf sie als die „echten“ Ergebnisse hinweist, insbesondere wenn die erklärten Ziele egoistisch und/oder schlecht sind und die „guten“ Ergebnisse zufällig, zufällig und sogar unerwünscht sind.</w:t>
      </w:r>
    </w:p>
    <w:p>
      <w:pPr>
        <w:pStyle w:val="Flietext1"/>
        <w:keepNext w:val="false"/>
        <w:keepLines w:val="false"/>
        <w:widowControl w:val="false"/>
        <w:shd w:val="clear" w:color="auto" w:fill="auto"/>
        <w:bidi w:val="0"/>
        <w:spacing w:before="0" w:after="220"/>
        <w:ind w:left="0" w:right="0" w:firstLine="300"/>
        <w:jc w:val="both"/>
        <w:rPr/>
      </w:pPr>
      <w:r>
        <w:rPr>
          <w:color w:val="000000"/>
          <w:spacing w:val="0"/>
          <w:w w:val="100"/>
          <w:shd w:fill="auto" w:val="clear"/>
          <w:vertAlign w:val="superscript"/>
          <w:lang w:val="en-US" w:eastAsia="en-US" w:bidi="en-US"/>
        </w:rPr>
        <w:t>Zweitens möchte Green argumentieren, dass sogar böse Menschen in einem solchen Maße am „nationalen Geist“ und sogar am „Geist der Menschlichkeit“616 teilhaben, dass ihre Handlungen zu anderen Ergebnissen führen müssen als sie beabsichtigten. Für Green, die weitere Position einzunehmen, diese unbeabsichtigt zu betrachten. Dass Green die weitere Position einnimmt, diese unbeabsichtigten Ergebnisse als gut zu betrachten, ist eine merkwürdige Position für einen Mann, der seine Diskussion mit einer sehr starken Aussage über die kantische Moral begonnen hat. Der Nationalgeist ist zu einem metaphysischen Akteur geworden; In gewisser Weise werden nicht die Individuen selbst zum eigentlichen Akteur, sondern dieser „nationale Geist“, der durch sie wirkt, ihre Taten zum Guten umwandelt und eine Vorstellung vom Gemeinwohl verkörpert, die weder die Massen noch die Führer verstehen oder akzeptieren müssen. Die individualistischen Aspekte werden nun zur Unhörbarkeit gedämpft. Bis zu einem gewissen Grad scheint die Aussage, dass das Böse immer zum Guten überwunden wird, eine naive Umformulierung der prosaischeren Beobachtung zu sein, dass es gewöhnlich die Sieger sind, die die Geschichtsbücher schreiben.617</w:t>
      </w:r>
    </w:p>
    <w:p>
      <w:pPr>
        <w:pStyle w:val="Flietext21"/>
        <w:keepNext w:val="false"/>
        <w:keepLines w:val="false"/>
        <w:widowControl w:val="false"/>
        <w:numPr>
          <w:ilvl w:val="0"/>
          <w:numId w:val="55"/>
        </w:numPr>
        <w:shd w:val="clear" w:color="auto" w:fill="auto"/>
        <w:tabs>
          <w:tab w:val="clear" w:pos="720"/>
          <w:tab w:val="left" w:pos="651" w:leader="none"/>
        </w:tabs>
        <w:bidi w:val="0"/>
        <w:spacing w:lineRule="auto" w:line="192" w:before="0" w:after="0"/>
        <w:ind w:left="0" w:right="0" w:firstLine="240"/>
        <w:jc w:val="left"/>
        <w:rPr/>
      </w:pPr>
      <w:r>
        <w:rPr>
          <w:color w:val="000000"/>
          <w:spacing w:val="0"/>
          <w:w w:val="100"/>
          <w:shd w:fill="auto" w:val="clear"/>
          <w:lang w:val="en-US" w:eastAsia="en-US" w:bidi="en-US"/>
        </w:rPr>
        <w:t>J. Christopher Herold, The Age of Napoleon (New York: Dell Publishing Co., 1963), p. 135.</w:t>
      </w:r>
    </w:p>
    <w:p>
      <w:pPr>
        <w:pStyle w:val="Flietext21"/>
        <w:keepNext w:val="false"/>
        <w:keepLines w:val="false"/>
        <w:widowControl w:val="false"/>
        <w:numPr>
          <w:ilvl w:val="0"/>
          <w:numId w:val="55"/>
        </w:numPr>
        <w:shd w:val="clear" w:color="auto" w:fill="auto"/>
        <w:tabs>
          <w:tab w:val="clear" w:pos="720"/>
          <w:tab w:val="left" w:pos="651" w:leader="none"/>
        </w:tabs>
        <w:bidi w:val="0"/>
        <w:spacing w:lineRule="auto" w:line="192" w:before="0" w:after="200"/>
        <w:ind w:left="0" w:right="0" w:firstLine="240"/>
        <w:jc w:val="left"/>
        <w:rPr/>
      </w:pPr>
      <w:r>
        <w:rPr>
          <w:color w:val="000000"/>
          <w:spacing w:val="0"/>
          <w:w w:val="100"/>
          <w:shd w:fill="auto" w:val="clear"/>
          <w:lang w:val="en-US" w:eastAsia="en-US" w:bidi="en-US"/>
        </w:rPr>
        <w:t>Ebenda, Abschnitt #128.</w:t>
      </w:r>
    </w:p>
    <w:p>
      <w:pPr>
        <w:pStyle w:val="Flietext1"/>
        <w:keepNext w:val="false"/>
        <w:keepLines w:val="false"/>
        <w:widowControl w:val="false"/>
        <w:shd w:val="clear" w:color="auto" w:fill="auto"/>
        <w:bidi w:val="0"/>
        <w:spacing w:lineRule="auto" w:line="252" w:before="0" w:after="280"/>
        <w:ind w:left="0" w:right="0" w:firstLine="280"/>
        <w:jc w:val="both"/>
        <w:rPr/>
      </w:pPr>
      <w:r>
        <w:rPr>
          <w:color w:val="000000"/>
          <w:spacing w:val="0"/>
          <w:w w:val="100"/>
          <w:shd w:fill="auto" w:val="clear"/>
          <w:vertAlign w:val="superscript"/>
          <w:lang w:val="en-US" w:eastAsia="en-US" w:bidi="en-US"/>
        </w:rPr>
        <w:t>Drittens und am wichtigsten von allem möchte Green argumentieren, dass das Böse historisch ohnmächtig wird, da alle Handlungen, selbst solche, die auf bösen Motiven beruhen, gute und nützliche Ergebnisse haben müssen. Gute Taten gedeihen; Böse Taten werden zum Guten aufgehoben. Diese Implikation wird durch ein weiteres Beispiel seiner Verwendung einer weitreichenden historischen Theorie deutlich, das in seiner Diskussion von Locke:618 angegeben ist</w:t>
      </w:r>
    </w:p>
    <w:p>
      <w:pPr>
        <w:pStyle w:val="Flietext1"/>
        <w:keepNext w:val="false"/>
        <w:keepLines w:val="false"/>
        <w:widowControl w:val="false"/>
        <w:shd w:val="clear" w:color="auto" w:fill="auto"/>
        <w:bidi w:val="0"/>
        <w:spacing w:before="0" w:after="280"/>
        <w:ind w:left="240" w:right="0" w:firstLine="380"/>
        <w:jc w:val="both"/>
        <w:rPr/>
      </w:pPr>
      <w:r>
        <w:rPr>
          <w:color w:val="000000"/>
          <w:spacing w:val="0"/>
          <w:w w:val="100"/>
          <w:shd w:fill="auto" w:val="clear"/>
          <w:lang w:val="en-US" w:eastAsia="en-US" w:bidi="en-US"/>
        </w:rPr>
        <w:t>Ob eine bestimmte Regierung aus diesem Grund ihren Anspruch (auf Gehorsam) verloren hat und ihr mit Recht widersprochen werden kann, ist zweifellos eine Frage, die für den Einzelnen schwer mit Sicherheit zu beantworten ist. Langfristig scheint es sich jedoch im Allgemeinen, wenn auch nicht immer, von selbst zu beantworten. Eine Regierung, die der beschriebenen Funktion nicht mehr dient ... bringt Kräfte ins Spiel, die ihr zum Verhängnis werden.</w:t>
      </w:r>
    </w:p>
    <w:p>
      <w:pPr>
        <w:pStyle w:val="Flietext1"/>
        <w:keepNext w:val="false"/>
        <w:keepLines w:val="false"/>
        <w:widowControl w:val="false"/>
        <w:shd w:val="clear" w:color="auto" w:fill="auto"/>
        <w:bidi w:val="0"/>
        <w:spacing w:before="0" w:after="280"/>
        <w:ind w:left="0" w:right="0" w:hanging="0"/>
        <w:jc w:val="both"/>
        <w:rPr/>
      </w:pPr>
      <w:r>
        <w:rPr>
          <w:color w:val="000000"/>
          <w:spacing w:val="0"/>
          <w:w w:val="100"/>
          <w:shd w:fill="auto" w:val="clear"/>
          <w:lang w:val="en-US" w:eastAsia="en-US" w:bidi="en-US"/>
        </w:rPr>
        <w:t>Dieses Gefühl findet sich in seinem Essay über die Vertragsfreiheit wieder, in dem er von Verordnungen „dieser höchsten Vernunft, die uns oft im Dunkeln liegt, die den Gang der menschlichen Angelegenheiten regelt“ spricht mehr als eine zufällige Erfindung; Richter geht so weit, sie als „Theodizee seines politischen Glaubens“ zu bezeichnen620, was eine zutreffende Einschätzung zu sein scheint. Es hat die Funktion, die Verantwortung vom Individuum abzuheben und an diesen „Selbstregulierungsmechanismus“ abzugeben, mit dessen Hilfe er das Ideal und das Reale verschmolzen hat. Sein frühes Argument ist von der Art: „Der Staat (um der Staat zu sein) sollte bestimmte Dinge tun“; Sein Argument ist nun, dass es zusammenbrechen wird, wenn es diese Dinge nicht tut, und daher zeigt es an, dass es diese Dinge tut, wenn es nicht zusammenbricht. Um den heiligen Paulus zu paraphrasieren: „Unterwerft euch den herrschenden Mächten, denn sie sind vom selbstregulierenden Mechanismus der Geschichte bestimmt.“</w:t>
      </w:r>
    </w:p>
    <w:p>
      <w:pPr>
        <w:pStyle w:val="Flietext21"/>
        <w:keepNext w:val="false"/>
        <w:keepLines w:val="false"/>
        <w:widowControl w:val="false"/>
        <w:numPr>
          <w:ilvl w:val="0"/>
          <w:numId w:val="55"/>
        </w:numPr>
        <w:shd w:val="clear" w:color="auto" w:fill="auto"/>
        <w:tabs>
          <w:tab w:val="clear" w:pos="720"/>
          <w:tab w:val="left" w:pos="636" w:leader="none"/>
        </w:tabs>
        <w:bidi w:val="0"/>
        <w:spacing w:before="0" w:after="0"/>
        <w:ind w:left="0" w:right="0" w:firstLine="280"/>
        <w:jc w:val="both"/>
        <w:rPr/>
      </w:pPr>
      <w:r>
        <w:rPr>
          <w:color w:val="000000"/>
          <w:spacing w:val="0"/>
          <w:w w:val="100"/>
          <w:shd w:fill="auto" w:val="clear"/>
          <w:lang w:val="en-US" w:eastAsia="en-US" w:bidi="en-US"/>
        </w:rPr>
        <w:t>Roger N. Baldwin bemerkt, dass „Verräter immer scheitern, denn wenn sie erfolgreich sind, werden sie zu Patrioten.“ Roger N. Baldwin, „Auf den gerechtfertigten Gründen des Ungehorsams gegen das Gesetz“, in Loyalitätskonflikt, hrsg. von Robert M. Maciver (New York: Harper &amp; Bros., 1952), p. 38.</w:t>
      </w:r>
    </w:p>
    <w:p>
      <w:pPr>
        <w:pStyle w:val="Flietext21"/>
        <w:keepNext w:val="false"/>
        <w:keepLines w:val="false"/>
        <w:widowControl w:val="false"/>
        <w:numPr>
          <w:ilvl w:val="0"/>
          <w:numId w:val="55"/>
        </w:numPr>
        <w:shd w:val="clear" w:color="auto" w:fill="auto"/>
        <w:tabs>
          <w:tab w:val="clear" w:pos="720"/>
          <w:tab w:val="left" w:pos="651" w:leader="none"/>
        </w:tabs>
        <w:bidi w:val="0"/>
        <w:spacing w:lineRule="auto" w:line="192" w:before="0" w:after="0"/>
        <w:ind w:left="0" w:right="0" w:firstLine="240"/>
        <w:jc w:val="left"/>
        <w:rPr/>
      </w:pPr>
      <w:r>
        <w:rPr>
          <w:color w:val="000000"/>
          <w:spacing w:val="0"/>
          <w:w w:val="100"/>
          <w:shd w:fill="auto" w:val="clear"/>
          <w:lang w:val="en-US" w:eastAsia="en-US" w:bidi="en-US"/>
        </w:rPr>
        <w:t>Grün, Politische Verpflichtung, Abschnitt Nr. 62.</w:t>
      </w:r>
    </w:p>
    <w:p>
      <w:pPr>
        <w:pStyle w:val="Flietext21"/>
        <w:keepNext w:val="false"/>
        <w:keepLines w:val="false"/>
        <w:widowControl w:val="false"/>
        <w:numPr>
          <w:ilvl w:val="0"/>
          <w:numId w:val="55"/>
        </w:numPr>
        <w:shd w:val="clear" w:color="auto" w:fill="auto"/>
        <w:tabs>
          <w:tab w:val="clear" w:pos="720"/>
          <w:tab w:val="left" w:pos="651" w:leader="none"/>
        </w:tabs>
        <w:bidi w:val="0"/>
        <w:spacing w:lineRule="auto" w:line="192" w:before="0" w:after="0"/>
        <w:ind w:left="0" w:right="0" w:firstLine="240"/>
        <w:jc w:val="left"/>
        <w:rPr/>
      </w:pPr>
      <w:r>
        <w:rPr>
          <w:color w:val="000000"/>
          <w:spacing w:val="0"/>
          <w:w w:val="100"/>
          <w:shd w:fill="auto" w:val="clear"/>
          <w:lang w:val="en-US" w:eastAsia="en-US" w:bidi="en-US"/>
        </w:rPr>
        <w:t>Grün, Vertragsfreiheit, S. 372.</w:t>
      </w:r>
    </w:p>
    <w:p>
      <w:pPr>
        <w:pStyle w:val="Flietext21"/>
        <w:keepNext w:val="false"/>
        <w:keepLines w:val="false"/>
        <w:widowControl w:val="false"/>
        <w:numPr>
          <w:ilvl w:val="0"/>
          <w:numId w:val="55"/>
        </w:numPr>
        <w:shd w:val="clear" w:color="auto" w:fill="auto"/>
        <w:tabs>
          <w:tab w:val="clear" w:pos="720"/>
          <w:tab w:val="left" w:pos="651" w:leader="none"/>
        </w:tabs>
        <w:bidi w:val="0"/>
        <w:spacing w:lineRule="auto" w:line="192" w:before="0" w:after="200"/>
        <w:ind w:left="0" w:right="0" w:firstLine="240"/>
        <w:jc w:val="left"/>
        <w:rPr/>
      </w:pPr>
      <w:r>
        <w:rPr>
          <w:color w:val="000000"/>
          <w:spacing w:val="0"/>
          <w:w w:val="100"/>
          <w:shd w:fill="auto" w:val="clear"/>
          <w:lang w:val="en-US" w:eastAsia="en-US" w:bidi="en-US"/>
        </w:rPr>
        <w:t>Richter, Die Politik des Gewissens, S. 238.</w:t>
      </w:r>
    </w:p>
    <w:p>
      <w:pPr>
        <w:pStyle w:val="Flietext1"/>
        <w:keepNext w:val="false"/>
        <w:keepLines w:val="false"/>
        <w:widowControl w:val="false"/>
        <w:shd w:val="clear" w:color="auto" w:fill="auto"/>
        <w:bidi w:val="0"/>
        <w:spacing w:lineRule="auto" w:line="261" w:before="0" w:after="0"/>
        <w:ind w:left="0" w:right="0" w:firstLine="280"/>
        <w:jc w:val="both"/>
        <w:rPr/>
      </w:pPr>
      <w:r>
        <w:rPr>
          <w:color w:val="000000"/>
          <w:spacing w:val="0"/>
          <w:w w:val="100"/>
          <w:shd w:fill="auto" w:val="clear"/>
          <w:lang w:val="en-US" w:eastAsia="en-US" w:bidi="en-US"/>
        </w:rPr>
        <w:t>Dies ist das Argument, das hinter der Verwirrung über soziale Beziehungen steckt, die eine Vorstellung vom Gemeinwohl implizieren, und dass der Staat auf Willen gegründet ist, nicht auf Gewalt; die empirischen Daten fallen übrigens, weil es einen historischen Mechanismus gibt, der die Realität genauer untersucht als das Individuum. Soziale Beziehungen, die keine Vorstellung von Gemeinwohl implizieren, Staaten, die nicht auf Willen beruhen, politische Institutionen, die keine angemessenen Rechte durchsetzen – all dies ist nach seinen eigenen Worten „dem Verfall geweiht“. Was ist, ist gut.</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Greens Argument gegen Ungehorsam hat weniger den Charakter eines direkten Angriffs als eine Zuschreibungskampagne. Er zermürbt allmählich die Möglichkeit des Ungehorsams, obwohl seine einleitenden Argumente in Form von „natürlichen“ Rechten berechtigte Gründe für den Widerstand gegen die Regierung zu schaffen scheinen. Ungehorsam ist ein Schlag gegen die Institutionen, ohne die unser Verstand nicht einmal moralische Gründe für den Ungehorsam formulieren könnte, diese Institutionen stellen auch eine Annäherung an das Gemeinwohl dar, und ein solches Handeln ist eine Einladung zur Anarchie.568 Auch dort, wo es um „natürliche“ Rechte geht verletzt, ist Ungehorsam genau dann gerechtfertigt, wenn er dem Staat/der Gesellschaft nicht schadet. Green rechtfertigt diese Haltung sowohl sich selbst als auch seinem Leser gegenüber mit zwei weiteren Argumenten, die beide bereits diskutiert wurden. Erstens verortet er den moralischen Fortschritt in den Institutionen (die, wie argumentiert wurde, mit dem Staat so gut wie identisch sind). Zweitens führt er die Vorstellung eines selbstregulierenden Mechanismus in der Geschichte ein, wodurch moralischer Fortschritt gesichert und moralischer Rückschritt zumindest langfristig ausgeschlossen wird. Wenn Grün am Anfang ein Kantianer ist, ist Grün am Ende eine Art Stoiker: Was ist, ist gut, und der gute Mensch ist, wer seine Güte erkennt und annimmt. Für Green ist das größte Übel nicht die Institutionalisierung des Bösen, nicht die fest verwurzelte Macht des Eigeninteresses (die sein System auf lange Sicht untergräbt), sondern die Anarchie, die aus jedem Versuch hervorgehen könnte, sich dagegen zu wehren. Daher lehnt er seine eigenen individualistischen Prämissen für eine quasi-staatliche Schlussfolgerung ab. Naturrechte werden zerstört, es existieren nur noch anerkannte Rechte. Gleiche Freiheit ist kein Maßstab für individuelles Verhalten mehr, sondern ein gesamtstaatliches Endziel. Moralische Prüfung wird zu Gehorsam und Loyalität. Die Idee des Gemeinwohls, die eng mit den Mitgliedern der Primärgruppe verbunden ist, wird auf der Ebene des Staates selbstbegründend, widersetzt sich jedem Beweis, braucht aber keines.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1"/>
        <w:keepNext w:val="false"/>
        <w:keepLines w:val="false"/>
        <w:widowControl w:val="false"/>
        <w:shd w:val="clear" w:color="auto" w:fill="auto"/>
        <w:bidi w:val="0"/>
        <w:spacing w:before="0" w:after="0"/>
        <w:ind w:left="0" w:right="0" w:firstLine="320"/>
        <w:jc w:val="both"/>
        <w:rPr/>
      </w:pPr>
      <w:r>
        <w:rPr>
          <w:i/>
          <w:iCs/>
          <w:color w:val="000000"/>
          <w:spacing w:val="0"/>
          <w:w w:val="100"/>
          <w:shd w:fill="auto" w:val="clear"/>
          <w:lang w:val="en-US" w:eastAsia="en-US" w:bidi="en-US"/>
        </w:rPr>
        <w:t>Greens endgültige Position zur Verpflichtung ist sehr stark und verurteilt den Ungehorsam per se, wie am besten durch seine abschließende Betrachtung der Gesetze zur Sklaverei angezeigt wird. Green selbst lehnt die Sklaverei ab – es wurde argumentiert, dass sein Konzept eines Rechts auf gleiche Freiheit die Sklaverei als spezifisches Ziel hatte – doch wenn die Angelegenheit praktisch wird, wenn ein Individuum entweder einem Pro-Sklaverei-Gesetz gehorchen oder es missachten muss, um seine Anerkennung zu verwirklichen Von den natürlichen Rechten eines Sklaven entscheidet sich Green stark für Gehorsam. Loyalität für den Bürger, Glaube an den Mechanismus der Geschichte, moralischer Fortschritt für den Staat – so lautet Greens Antwort auf die Verpflichtungsfrage. Grün: genauer hinsehen</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Das Problem von Green als ein individualistisches/etatistisches Problem darzustellen, ist bis zu einem gewissen Punkt nützlich, aber es ist nicht ganz richtig. Green lässt den Fokus nie wirklich auf das Individuum. Das Wichtigste ist immer, dass die Individuen in Richtung der vollen moralischen Entwicklung zugelassen und ermutigt werden. „Rechte“ werden aus den aktuellen Bedingungen eines Individuums und der Gesellschaft abgeleitet; Es gibt ein Grundrecht auf eine solche Entwicklung hin zu voller Moral und Rationalität (undeutlich als Recht auf „gleiche Freiheit“ bezeichnet), aber darüber hinaus hat der Einzelne einen Anspruch auf andere spezifischere Rechte, die ihm am besten geeignet sind, seine Entwicklung zu erleichtern die nächste und höhere Ebene der Rationalität und Moral. Der Staat ist der Komplex gesellschaftlicher Institutionen, die diese Rechte real und wirksam machen, und er hat eine rein instrumentalistische (wenn auch unverzichtbare) Rolle. Nie ist das Individuum dem Staat einfach untergeordnet; vielmehr hat der Staat nur insoweit Bedeutung, als er Menschenrechte wirksam macht, und diese Rechte ergeben sich sowohl aus dem gegenwärtigen moralischen Stand der gesellschaftlichen Entwicklung als auch aus der Notwendigkeit, weiteren moralischen Fortschritt zuzulassen. Daher ist der Begriff „Etatismus“ unangebracht; das Individuum wird niemals dem Staat untergeordnet, sondern erkennt lediglich als Bürger eine Verpflichtung gegenüber einer sozialen Organisation an, die jene Rechte schützt und verwirklicht, die es dem Individuum ermöglichen, vollständig Mensch zu werden. Weder Rousseau noch Green sind echte Kollektivisten; das Individuum wird nie von der Gesellschaft verschluckt, nie in sie aufgenommen, nie vergessen oder transzendiert. Sie sind sich lediglich sehr bewusst, inwieweit das Kollektiv das Individuum beeinflusst und verändert, und gleichzeitig, inwieweit das Kollektiv ein notwendiges Mittel zur Erlangung individueller Erfüllung ist.</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Nur in einer Hinsicht fordert Green eine individuelle Unterordnung, die größer ist als die von Rousseau. Für Rousseau ist ein Individuum in einer korrupten Gesellschaft berechtigt, sich loszureißen und am Rande der Gesellschaft zu leben, wie der Emile und das Leben von Rousseau selbst bezeugen. Für Green kann ein Individuum in einer Gesellschaft, die auf einer niedrigeren moralischen Entwicklungsstufe operiert, nicht einfach aussteigen; sein Ungehorsam kann nicht nur auf seiner eigenen höheren moralischen Entwicklung beruhen. Wenn er ungehorsam ist, muss er sich vielmehr auf die moralischen Prinzipien dieser Gesellschaft stützen; Das Individuum hat nicht die Möglichkeit, seine eigene unabhängige Reinheit zu suchen, sondern muss sich selbst zu einem Mittel zur moralischen Verbesserung dieser Gesellschaft machen. Wo ein Individuum ausreichend über der Gesellschaft steht, dass sein Ungehorsam nicht in solchen Begriffen formuliert werden kann, wird er vermutlich nicht einmal ungehorsam sein. Der Einzelne ist nicht berechtigt, den Staat abzulehnen, sondern vielmehr verpflichtet, zu seiner schrittweisen Entwicklung beizutragen.</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vertAlign w:val="superscript"/>
          <w:lang w:val="en-US" w:eastAsia="en-US" w:bidi="en-US"/>
        </w:rPr>
        <w:t>Daher scheint es, dass der Einzelne in eine endlose kritische Bewertung seiner Gesellschaft verwickelt ist. Er muss zuerst das moralische Niveau der Gesellschaft bestimmen, in der er sich befindet, und dann, inwieweit der Staat tatsächlich die Rechte verwirklicht, die für die weitere moralische Entwicklung erforderlich sind. Endlich, wenn er sich in einer solchen Entwicklung der Gesellschaft ein wenig voraus zu sein glaubt, muss er seine Einwände so ordnen, dass sie zur moralischen Verbesserung seiner ganzen Gesellschaft beitragen. So das Bild von Green, das wir zum Beispiel in Lindsays Einleitung finden.622</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Ein solches Argument ist nicht zu beanstanden oder inkohärent; ja, ich werde eine ähnliche Formulierung in meinem eigenen Versuch verwenden, den unterstellten Vertrag als eine mögliche Lösung des Verpflichtungsproblems darzustellen. Dies ist jedoch nicht die endgültige Position von Green, und sie als solche darzustellen, ist zutiefst irreführend. Daher nenne ich es nur eine erste Annäherung an Green, analog zu der ersten Annäherung an Rousseau, die früher vorgeschlagen und für einen ähnlichen Zweck so bezeichnet wurde.</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Dies ist nur die Hälfte des Arguments, das Green vorbringt – es ist die Hälfte, die zuvor als individualistisch beschrieben wurde, und die Rubrik ist überhaupt nicht irreführend. Es gibt jedoch eine zweite Hälfte seiner Argumentation, und es ist diese Hälfte, die es rechtfertigt, ihn als „Etatisten“ zu bezeichnen, obwohl eine solche Bezeichnung nur bezeichnend ist. Diese zweite Hälfte kann herausgearbeitet werden, indem man den bisher dargelegten individualistischen Rahmen nimmt und fragt, was der Einzelne tun soll, wenn er zu dem Schluss kommt, dass der Staat kein Staat ist, dh die dieser moralischen Ebene angemessenen Rechte nicht wirksam werden lässt der Bevölkerungsentwicklung. Die individualistische Antwort scheint Widerstand und sogar Revolution zu erfordern; weil Green mit dieser Vorschrift nicht abschließt, ist es notwendig, eine zweite nicht-individualistische Seite seiner Analyse zu spezifizieren.</w:t>
      </w:r>
    </w:p>
    <w:p>
      <w:pPr>
        <w:pStyle w:val="Flietext1"/>
        <w:keepNext w:val="false"/>
        <w:keepLines w:val="false"/>
        <w:widowControl w:val="false"/>
        <w:shd w:val="clear" w:color="auto" w:fill="auto"/>
        <w:bidi w:val="0"/>
        <w:spacing w:before="0" w:after="280"/>
        <w:ind w:left="0" w:right="0" w:firstLine="280"/>
        <w:jc w:val="both"/>
        <w:rPr/>
      </w:pPr>
      <w:r>
        <w:rPr>
          <w:color w:val="000000"/>
          <w:spacing w:val="0"/>
          <w:w w:val="100"/>
          <w:shd w:fill="auto" w:val="clear"/>
          <w:lang w:val="en-US" w:eastAsia="en-US" w:bidi="en-US"/>
        </w:rPr>
        <w:t>Für Green steht das Individuum, das einem Staat gegenübersteht, der kein Staat ist, vor einem bedeutenden moralischen Problem; zum Glück für den Einzelnen ist es eine Frage, die sich „im Allgemeinen, wenn nicht immer, von selbst zu beantworten scheint“. Oberste Vernunft, oft dunkel für uns, die den Gang der menschlichen Angelegenheiten regelt625 als der Agent, der dieses Ziel bewirkt.</w:t>
      </w:r>
    </w:p>
    <w:p>
      <w:pPr>
        <w:pStyle w:val="Flietext21"/>
        <w:keepNext w:val="false"/>
        <w:keepLines w:val="false"/>
        <w:widowControl w:val="false"/>
        <w:numPr>
          <w:ilvl w:val="0"/>
          <w:numId w:val="56"/>
        </w:numPr>
        <w:shd w:val="clear" w:color="auto" w:fill="auto"/>
        <w:tabs>
          <w:tab w:val="clear" w:pos="720"/>
          <w:tab w:val="left" w:pos="625" w:leader="none"/>
        </w:tabs>
        <w:bidi w:val="0"/>
        <w:spacing w:lineRule="auto" w:line="213" w:before="0" w:after="0"/>
        <w:ind w:left="0" w:right="0" w:firstLine="280"/>
        <w:jc w:val="both"/>
        <w:rPr/>
      </w:pPr>
      <w:r>
        <w:rPr>
          <w:color w:val="000000"/>
          <w:spacing w:val="0"/>
          <w:w w:val="100"/>
          <w:shd w:fill="auto" w:val="clear"/>
          <w:lang w:val="en-US" w:eastAsia="en-US" w:bidi="en-US"/>
        </w:rPr>
        <w:t>A.D. Lindsay, „Einführung in T.H. Green, Vorlesungen über die Grundsätze der politischen Verpflichtung (Ann Arbor: University of Michigan Press, 1967).</w:t>
      </w:r>
    </w:p>
    <w:p>
      <w:pPr>
        <w:pStyle w:val="Flietext21"/>
        <w:keepNext w:val="false"/>
        <w:keepLines w:val="false"/>
        <w:widowControl w:val="false"/>
        <w:numPr>
          <w:ilvl w:val="0"/>
          <w:numId w:val="56"/>
        </w:numPr>
        <w:shd w:val="clear" w:color="auto" w:fill="auto"/>
        <w:tabs>
          <w:tab w:val="clear" w:pos="720"/>
          <w:tab w:val="left" w:pos="679" w:leader="none"/>
        </w:tabs>
        <w:bidi w:val="0"/>
        <w:spacing w:lineRule="auto" w:line="189" w:before="0" w:after="0"/>
        <w:ind w:left="0" w:right="0" w:firstLine="280"/>
        <w:jc w:val="both"/>
        <w:rPr/>
      </w:pPr>
      <w:r>
        <w:rPr>
          <w:color w:val="000000"/>
          <w:spacing w:val="0"/>
          <w:w w:val="100"/>
          <w:shd w:fill="auto" w:val="clear"/>
          <w:lang w:val="en-US" w:eastAsia="en-US" w:bidi="en-US"/>
        </w:rPr>
        <w:t>Grün, Politische Verpflichtung, Abschnitt Nr. 62.</w:t>
      </w:r>
    </w:p>
    <w:p>
      <w:pPr>
        <w:pStyle w:val="Flietext21"/>
        <w:keepNext w:val="false"/>
        <w:keepLines w:val="false"/>
        <w:widowControl w:val="false"/>
        <w:numPr>
          <w:ilvl w:val="0"/>
          <w:numId w:val="56"/>
        </w:numPr>
        <w:shd w:val="clear" w:color="auto" w:fill="auto"/>
        <w:tabs>
          <w:tab w:val="clear" w:pos="720"/>
          <w:tab w:val="left" w:pos="639" w:leader="none"/>
        </w:tabs>
        <w:bidi w:val="0"/>
        <w:spacing w:lineRule="auto" w:line="189" w:before="0" w:after="200"/>
        <w:ind w:left="0" w:right="0" w:firstLine="240"/>
        <w:jc w:val="left"/>
        <w:rPr/>
      </w:pPr>
      <w:r>
        <w:rPr>
          <w:i/>
          <w:iCs/>
          <w:color w:val="000000"/>
          <w:spacing w:val="0"/>
          <w:w w:val="100"/>
          <w:shd w:fill="auto" w:val="clear"/>
          <w:lang w:val="en-US" w:eastAsia="en-US" w:bidi="en-US"/>
        </w:rPr>
        <w:t>Ebenda.</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Wenn sich eine Frage „von selbst beantwortet“, hat es natürlich wenig Sinn, sich über ihre Lösung Sorgen zu machen. Wenn ein Einzelner urteilt, dass sein Staat die entsprechenden Rechte nicht geltend macht, und versucht, die Frage zu beantworten, ob er aus diesem Grund seinen Gehorsamsanspruch verloren hat, ist Greens Rat nicht die Aufstellung von Kriterien zur Beurteilung der Legitimität der Revolution, sondern ist vielmehr eine Beschwörung eines historischen Mechanismus, der bejahend antworten wird, indem er den Staat zu Fall bringt, oder verneinend, indem er dies unterlässt.</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Dadurch wird jedoch die individuelle moralische Kontrolle als entscheidende operative Kraft drastisch reduziert. Die individuelle Entscheidung ist schwer mit Sicherheit zu treffen; der historische Mechanismus wird mit Begriffen wie „keine klarere Verordnung“ diskutiert.626 Obwohl seine Argumentation in Bezug auf Einzelpersonen und ihre Rechte aufgebaut ist, wird das Individuum an dieser Stelle tendenziell ausgelassen, sein Urteil wird durch die Verordnungen des Höchsten ersetzt Grund.</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Der Grund dafür, dass zuvor vorgeschlagen wurde, dass die Spaltung zwischen Individuum und Staat mit dem Real-Ideal-Problem zusammenfällt, liegt darin, dass derselbe historische Mechanismus, der den Wert diskreter individueller Urteile reduziert, auch die Assimilation des tatsächlich Existierenden an das Ideal erleichtert. Die Frage, ob eine Regierung ihr Recht auf Gehorsam aufgegeben hat, ist für den Einzelnen schwer zu beantworten, beantwortet sich aber von selbst. Anstatt sich die schwierige Frage zu stellen, ob der Staat angemessene Rechte wirksam gewährt, braucht der Einzelne nur zu fragen, ob der Staat zerfällt oder nicht; auf lange Sicht sind die Antworten auf die beiden Fragen dieselben.</w:t>
      </w:r>
    </w:p>
    <w:p>
      <w:pPr>
        <w:pStyle w:val="Flietext1"/>
        <w:keepNext w:val="false"/>
        <w:keepLines w:val="false"/>
        <w:widowControl w:val="false"/>
        <w:shd w:val="clear" w:color="auto" w:fill="auto"/>
        <w:bidi w:val="0"/>
        <w:spacing w:before="0" w:after="260"/>
        <w:ind w:left="0" w:right="0" w:firstLine="280"/>
        <w:jc w:val="both"/>
        <w:rPr/>
      </w:pPr>
      <w:r>
        <w:rPr>
          <w:color w:val="000000"/>
          <w:spacing w:val="0"/>
          <w:w w:val="100"/>
          <w:shd w:fill="auto" w:val="clear"/>
          <w:lang w:val="en-US" w:eastAsia="en-US" w:bidi="en-US"/>
        </w:rPr>
        <w:t>Gleichzeitig tut sich zwischen Rousseau und Green eine Lücke auf. Rousseau war der Ansicht, dass die Gesellschaft im Sinne der volonte generale organisiert sein sollte, war jedoch der Ansicht, dass dies nur in einer höchst ungewöhnlichen Situation der Fall sein könne. Green, der den Staat in Begriffen von Rechten definiert, zeichnet ein höchst idealistisches Staatsbild, das zu demselben Schluss zu tendieren scheint. Jetzt jedoch scheint ein historischer Mechanismus zu wirken, der darauf abzielt, jene Staaten zu zerstören, die nicht dem Ideal entsprechen. Während Rousseau die Geschichte als einen Feind betrachtete, der gute Institutionen zermürbt, sieht Green sie als einen Verbündeten, der schlechte zerstört. Durch den Prozess der Eliminierung werden alle Zustände zu idealen Zuständen; Staaten, die die dem Grad der Rationalität/Moral ihrer einzelnen Bürger angemessenen Rechte nicht durchsetzen, brechen zusammen. Dies muss nicht irgendeine Tendenz zur identischen Beschaffenheit und Erscheinung von Staaten implizieren; denn unterschiedliche Gesellschaften können sich auf unterschiedlichen Entwicklungsstufen befinden, so dass die ihnen angemessenen Rechte und Institutionen unterschiedlich sein können. Dabei ist nicht der Leistungsstand der gesamten Menschheit relevant, sondern nur der der jeweiligen Gesellschaft.</w:t>
      </w:r>
    </w:p>
    <w:p>
      <w:pPr>
        <w:pStyle w:val="Flietext21"/>
        <w:keepNext w:val="false"/>
        <w:keepLines w:val="false"/>
        <w:widowControl w:val="false"/>
        <w:numPr>
          <w:ilvl w:val="0"/>
          <w:numId w:val="56"/>
        </w:numPr>
        <w:shd w:val="clear" w:color="auto" w:fill="auto"/>
        <w:tabs>
          <w:tab w:val="clear" w:pos="720"/>
          <w:tab w:val="left" w:pos="639" w:leader="none"/>
        </w:tabs>
        <w:bidi w:val="0"/>
        <w:spacing w:lineRule="auto" w:line="240" w:before="0" w:after="0"/>
        <w:ind w:left="0" w:right="0" w:firstLine="240"/>
        <w:jc w:val="left"/>
        <w:rPr/>
      </w:pPr>
      <w:r>
        <w:rPr>
          <w:color w:val="000000"/>
          <w:spacing w:val="0"/>
          <w:w w:val="100"/>
          <w:shd w:fill="auto" w:val="clear"/>
          <w:lang w:val="en-US" w:eastAsia="en-US" w:bidi="en-US"/>
        </w:rPr>
        <w:t>Green, „Vertragsfreiheit“, S. 372.</w:t>
      </w:r>
    </w:p>
    <w:p>
      <w:pPr>
        <w:pStyle w:val="Flietext21"/>
        <w:keepNext w:val="false"/>
        <w:keepLines w:val="false"/>
        <w:widowControl w:val="false"/>
        <w:numPr>
          <w:ilvl w:val="0"/>
          <w:numId w:val="56"/>
        </w:numPr>
        <w:shd w:val="clear" w:color="auto" w:fill="auto"/>
        <w:tabs>
          <w:tab w:val="clear" w:pos="720"/>
          <w:tab w:val="left" w:pos="639" w:leader="none"/>
        </w:tabs>
        <w:bidi w:val="0"/>
        <w:spacing w:lineRule="auto" w:line="196" w:before="0" w:after="200"/>
        <w:ind w:left="0" w:right="0" w:firstLine="240"/>
        <w:jc w:val="left"/>
        <w:rPr/>
      </w:pPr>
      <w:r>
        <w:rPr>
          <w:i/>
          <w:iCs/>
          <w:color w:val="000000"/>
          <w:spacing w:val="0"/>
          <w:w w:val="100"/>
          <w:shd w:fill="auto" w:val="clear"/>
          <w:lang w:val="en-US" w:eastAsia="en-US" w:bidi="en-US"/>
        </w:rPr>
        <w:t>Ebenda.</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So wirkt Greens politische Theodizee, dieser Mechanismus der Geschichte, höchst dramatisch. Was als individualistische und kritische politische Philosophie begann, endet damit, dem Einzelnen den Zustand zu rechtfertigen, in dem er sich befindet, und diesem unpersönlichen Mechanismus jede Anklage gegen den Staat zu überlassen. Gleichzeitig wird durch die vorteilhafte Wirkung desselben Mechanismus der legitime Staat, den Rousseau nur in Sparta und Rom als vollständig verwirklicht ansah, verallgemeinert und verallgemeinert, so dass alle überlebenden Staaten an dem angemessenen Niveau des fortschrittlichen Ideals teilhaben.</w:t>
      </w:r>
    </w:p>
    <w:p>
      <w:pPr>
        <w:pStyle w:val="Flietext1"/>
        <w:keepNext w:val="false"/>
        <w:keepLines w:val="false"/>
        <w:widowControl w:val="false"/>
        <w:shd w:val="clear" w:color="auto" w:fill="auto"/>
        <w:bidi w:val="0"/>
        <w:spacing w:before="0" w:after="260"/>
        <w:ind w:left="0" w:right="0" w:firstLine="280"/>
        <w:jc w:val="both"/>
        <w:rPr/>
      </w:pPr>
      <w:r>
        <w:rPr>
          <w:color w:val="000000"/>
          <w:spacing w:val="0"/>
          <w:w w:val="100"/>
          <w:shd w:fill="auto" w:val="clear"/>
          <w:lang w:val="en-US" w:eastAsia="en-US" w:bidi="en-US"/>
        </w:rPr>
        <w:t>Das Ergebnis etatistisch zu nennen, ist irreführend, denn es bleibt dabei, dass der Staat nur durch seinen Beitrag zur individuellen Entwicklung gerechtfertigt ist. Der Individualismus, der mit der Notwendigkeit einer kontinuierlichen Überprüfung verbunden ist, wird jedoch stark untergraben, und das endgültige Bild ist eher historistisch als individualistisch.</w:t>
      </w:r>
    </w:p>
    <w:p>
      <w:pPr>
        <w:pStyle w:val="Flietext1"/>
        <w:keepNext w:val="false"/>
        <w:keepLines w:val="false"/>
        <w:widowControl w:val="false"/>
        <w:shd w:val="clear" w:color="auto" w:fill="auto"/>
        <w:bidi w:val="0"/>
        <w:spacing w:before="0" w:after="120"/>
        <w:ind w:left="0" w:right="0" w:hanging="0"/>
        <w:jc w:val="left"/>
        <w:rPr/>
      </w:pPr>
      <w:r>
        <w:rPr>
          <w:i/>
          <w:iCs/>
          <w:color w:val="000000"/>
          <w:spacing w:val="0"/>
          <w:w w:val="100"/>
          <w:shd w:fill="auto" w:val="clear"/>
          <w:lang w:val="en-US" w:eastAsia="en-US" w:bidi="en-US"/>
        </w:rPr>
        <w:t>Fazit: Grün und der unterstellte Vertrag</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Es bleibt weiterhin notwendig, die Aufnahme von T.H. Green in einer Diskussion über Gesellschaftsvertrag und Zustimmung. Sowohl auf den Seiten seiner Bücher als auch in der Struktur seines Schreibens fehlt offensichtlich das Mittel des Gesellschaftsvertrags; Green kann nicht als Beispiel für Kontraktarismus bezeichnet werden, und daher scheint es, dass niemand ausgeschlossen werden könnte, wenn Green sich in eine Vertragsthese einschleichen kann.</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So willkürlich ist die Auswahl aber nicht. Der unterstellte Vertrag enthält zwei Elemente: erstens eine substanzielle Theorie, die normalerweise, aber nicht immer ethisch ist; und zweitens ein Begriff der rationalen Zustimmung als Zugangsmittel. Demokratische Theorie, so wurde vorgeschlagen, könnte in einigen ihrer Formen sinnvollerweise als Mittel ohne die substantielle Theorie dargestellt werden. TH Green dagegen hat mit dem Consent Device eine substanzielle ethische Theorie; die Tatsache, dass Green einen Großteil seiner Argumentation von Rousseau ableitete, der hier als der unterstellte Vertragstheoretiker par excellence dargestellt wurde, macht die Verbindung noch weniger phantasievoll. Mit anderen Worten, T.H. Green kann berechtigterweise in eine These über unterstellte Verträge aufgenommen werden, weil er das Element der unterstellten Verträge repräsentiert, das die Demokratie nicht hat. Da die beiden Elemente philosophisch getrennt wurden, können sie getrennt untersucht werden.</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Weil Rousseau ein so hervorragendes Beispiel für den unterstellten Vertrag ist und weil Green so viel von ihm entlehnt, ist ein Vergleich der beiden für die gegenwärtigen Zwecke höchst ergiebig. Es ist eine zu starke Vereinfachung zu sagen, dass Green ein Rousseau ist, dem die Zustimmung egal ist; nichtsdestotrotz, obwohl die Übertreibung nur ein Nebenweg für das Studium von Green sein mag, ist sie höchst wertvoll für das Verständnis des unterstellten Vertrages.</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Was sind dann diese Unterschiede zwischen Green und Rousseau?</w:t>
      </w:r>
    </w:p>
    <w:p>
      <w:pPr>
        <w:pStyle w:val="Flietext1"/>
        <w:keepNext w:val="false"/>
        <w:keepLines w:val="false"/>
        <w:widowControl w:val="false"/>
        <w:shd w:val="clear" w:color="auto" w:fill="auto"/>
        <w:bidi w:val="0"/>
        <w:spacing w:before="0" w:after="280"/>
        <w:ind w:left="0" w:right="0" w:firstLine="320"/>
        <w:jc w:val="both"/>
        <w:rPr/>
      </w:pPr>
      <w:r>
        <w:rPr>
          <w:color w:val="000000"/>
          <w:spacing w:val="0"/>
          <w:w w:val="100"/>
          <w:shd w:fill="auto" w:val="clear"/>
          <w:lang w:val="en-US" w:eastAsia="en-US" w:bidi="en-US"/>
        </w:rPr>
        <w:t>Erstens hat Green eine Vorstellung von Fortschritt im Gegensatz zum zeitlosen Modell eines abstrakten rationalen Menschen. Daher sind es nicht die moralischen Reflexionen eines zeitlosen Modells, die Greens Aufmerksamkeit erregen, sondern vielmehr die moralische Prüfung eines konkreten Individuums, das zu einer bestimmten Zeit in einer bestimmten Gesellschaft existiert.627 Es wird nicht angenommen, dass die Berechnungen dieses Individuums in irgendeiner Weise sinnvoll sind transtemporal, oder dass das Individuum von einer Zeit oder Gesellschaft in eine andere übersetzt werden könnte, ohne die Substanz oder das Ergebnis seiner Überlegungen zu verändern. Im Gegenteil, sein Denken ist gesellschaftsspezifisch, ein einzigartiges Produkt der Wechselbeziehungen von drei Faktoren: erstens sein eigenes Maß an Rationalität/Moral; zweitens das Maß an Rationalität/Moral, das von den Mitgliedern der Gesellschaft, der er angehört, erreicht wird; und drittens die durch den Staat konkretisierte Funktionalität der Rechte. Im Gegensatz dazu erkennt Rousseau keine entsprechende Komplexität der Spezifität an; es geht ihm um die rationalen Überlegungen eines abstrakten und zeitlosen Menschen, deren Produkt in bestimmten konkreten Situationen nur minimal variiert, aber durch solche Zufälligkeiten keine radikale Transformation erleiden kann. Greens Agent ist spezifisch, individuell und konkret; Rousseaus ist zeitlos und abstrakt.</w:t>
      </w:r>
    </w:p>
    <w:p>
      <w:pPr>
        <w:pStyle w:val="Flietext21"/>
        <w:keepNext w:val="false"/>
        <w:keepLines w:val="false"/>
        <w:widowControl w:val="false"/>
        <w:numPr>
          <w:ilvl w:val="0"/>
          <w:numId w:val="56"/>
        </w:numPr>
        <w:shd w:val="clear" w:color="auto" w:fill="auto"/>
        <w:tabs>
          <w:tab w:val="clear" w:pos="720"/>
          <w:tab w:val="left" w:pos="639" w:leader="none"/>
        </w:tabs>
        <w:bidi w:val="0"/>
        <w:spacing w:lineRule="auto" w:line="189" w:before="0" w:after="200"/>
        <w:ind w:left="0" w:right="0" w:firstLine="240"/>
        <w:jc w:val="left"/>
        <w:rPr/>
      </w:pPr>
      <w:r>
        <w:rPr>
          <w:color w:val="000000"/>
          <w:spacing w:val="0"/>
          <w:w w:val="100"/>
          <w:shd w:fill="auto" w:val="clear"/>
          <w:lang w:val="en-US" w:eastAsia="en-US" w:bidi="en-US"/>
        </w:rPr>
        <w:t>Vgl. Lindsay, op. cit.</w:t>
      </w:r>
    </w:p>
    <w:p>
      <w:pPr>
        <w:pStyle w:val="Flietext1"/>
        <w:keepNext w:val="false"/>
        <w:keepLines w:val="false"/>
        <w:widowControl w:val="false"/>
        <w:shd w:val="clear" w:color="auto" w:fill="auto"/>
        <w:bidi w:val="0"/>
        <w:spacing w:before="0" w:after="280"/>
        <w:ind w:left="0" w:right="0" w:firstLine="280"/>
        <w:jc w:val="both"/>
        <w:rPr/>
      </w:pPr>
      <w:r>
        <w:rPr>
          <w:color w:val="000000"/>
          <w:spacing w:val="0"/>
          <w:w w:val="100"/>
          <w:shd w:fill="auto" w:val="clear"/>
          <w:lang w:val="en-US" w:eastAsia="en-US" w:bidi="en-US"/>
        </w:rPr>
        <w:t>Zweitens hat Green ein progressives Konzept der Natur der Gesellschaft, das Greens progressivem Konzept der Natur des Menschen entspricht (und tatsächlich Teil davon ist). Der Mann, der das Problem betrachtet (d. h. ein bestimmtes Individuum, das über seine Verpflichtungen nachdenkt), kommt nicht zu einer Schlussfolgerung, indem er die gegenwärtige Gesellschaft an einem einzigen absoluten Modell misst, sondern indem er sie an einem Modell misst, das für ein bestimmtes und kontingentes Niveau von Moral / Rationalität geeignet ist . Es gibt nicht ein Gesellschaftsmodell, sondern fortschreitende Gesellschaftsstufen, von denen jede die vorherige transzendiert und einschließt.628 Rousseaus Modell der idealen/legitimen Gesellschaft ist einheitlich und absolut; ebenso wie das Wesen des Menschen (das Modell des „natürlichen“ Menschen), das er abstrahiert, unveränderlich und absolut ist, so kann die Gesellschaft, die von dieser einzigen menschlichen Natur abgeleitet ist, nur eine Form haben, und die historische Kontingenz kann nur für die Wahrscheinlichkeit ihrer relevant sein Verwirklichung, nicht zu seiner einmal verwirklichten Struktur. Während Rousseau eine Dichotomie von legitim/korrupt hat, der alle denkbaren Gesellschaftsformen zugeordnet werden könnten, impliziert Green eine Dichotomie angemessen/unangemessen, wobei erstens unterschieden wird, dass ein Staat unangemessen sein kann, weil die Konkretisierung von Rechten einem zu hohen Niveau für ihn entspricht tatsächliche Mitglieder, und zweitens, weil sich die einzelnen Männer, für die der Staat als angemessen beurteilt wird, selbst ändern (fortschreiten), ist die Jury immer draußen, und ein System, das zu einem Zeitpunkt angemessen war, kann zu einem anderen unangemessen sein und umgekehrt .</w:t>
      </w:r>
    </w:p>
    <w:p>
      <w:pPr>
        <w:pStyle w:val="Flietext21"/>
        <w:keepNext w:val="false"/>
        <w:keepLines w:val="false"/>
        <w:widowControl w:val="false"/>
        <w:numPr>
          <w:ilvl w:val="0"/>
          <w:numId w:val="56"/>
        </w:numPr>
        <w:shd w:val="clear" w:color="auto" w:fill="auto"/>
        <w:tabs>
          <w:tab w:val="clear" w:pos="720"/>
          <w:tab w:val="left" w:pos="625" w:leader="none"/>
        </w:tabs>
        <w:bidi w:val="0"/>
        <w:spacing w:lineRule="auto" w:line="213" w:before="0" w:after="200"/>
        <w:ind w:left="0" w:right="0" w:firstLine="280"/>
        <w:jc w:val="both"/>
        <w:rPr/>
      </w:pPr>
      <w:r>
        <w:rPr>
          <w:color w:val="000000"/>
          <w:spacing w:val="0"/>
          <w:w w:val="100"/>
          <w:shd w:fill="auto" w:val="clear"/>
          <w:lang w:val="en-US" w:eastAsia="en-US" w:bidi="en-US"/>
        </w:rPr>
        <w:t>Die Diskussion hier basiert stark auf der Behandlung des konkreten Universalen in A.J.M. Milne, Die Sozialphilosophie des englischen Idealismus (London: George Allen &amp; Unwin, 1962).</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Drittens ist Green überaus selbstbewusst und optimistisch. Es ist nicht nur so, dass es verschiedene Ebenen moralischer/rationaler Errungenschaften gibt, auf denen man Gesellschaften und Menschen einordnen kann; dies wäre nur eine geringfügige Überarbeitung von Rousseau. Grün geht viel weiter; Es gibt nicht nur diese Stadien, sondern der Mensch neigt unausweichlich dazu, sich durch diese Stadien zu erheben, so dass die Vergangenheit als Fortschritt durch immer höhere Stadien angesehen werden kann und (noch wichtiger) man zuversichtlich annehmen kann, dass die Zukunft eine ähnliche Tendenz zeigen wird. Dieses Vertrauen führt Green dazu, sich vom moralisch prüfenden Individuum abzuwenden und sich einem unpersönlichen Mechanismus der Geschichte als Träger dieses Fortschritts zuzuwenden; Darüber hinaus ist der Mechanismus der Geschichte nicht nur die Summe immer schärferer individueller Prüfung, sondern das Produkt einer unergründlichen Vernunft außerhalb des Menschen, die die Geschichte leitet. Für Rousseau bringt die Zeit nur den Zusammenbruch legitimer tugendhafter Staaten. Wenn Sparta und Rom fielen, welche Hoffnung gibt es dann für irgendjemanden? Die Zeit ist der Feind, und der Einzelne kann sein eigenes kritisches Urteil niemals zugunsten der Feier des historischen Zufalls aufheben. Für Green ist eine solche Aussetzung der Kontrolle zugunsten der Geschichte nur angemessen, und moralische Probleme bezüglich der Legitimität des Staates beantworten sich von selbst.</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Viertens scheint Rousseau die klassische griechische Vorstellung vom Staat als Voraussetzung für ein tugendhaftes Leben wiederzugeben. Dieses Thema fehlt in Green nicht, aber es scheint sogar starke Obertöne anzunehmen, deren Substanz am besten skizziert werden kann, indem man die Formen angibt, die diese Obertöne annehmen. Erstens, obwohl sowohl Green als auch Rousseau sich der Tatsache bewusst sind, dass die Gesellschaft das Individuum formt, scheint Rousseau dies nur als einen Faktor zu sehen und ist nicht überrascht von der Existenz von Individuen, die die Gesellschaft nicht widerspiegeln – Emil und vielleicht er selbst in einer korrupten Gesellschaft; eine verhärtete und uneinbringliche Minderheit im rechtmäßigen Staat (siehe seine Bemerkung zu den Galerien). Green hingegen sieht den prägenden Einfluss als viel weitreichender an – ohne die Gesellschaft wäre ich nicht, hätte ich überhaupt keine Vorstellungen von Rechten usw. – und seine Antwort auf fundamentalen moralischen Dissens ist etwas, das ohne Verzerrung möglich ist als Ungläubigkeit dargestellt werden. Es ist etwas, scheint er zu fühlen, das kaum sein kann, abgesehen von geringfügigen Abweichungen von der Norm. Zweitens, wenn wir ein Individuum besser als seine Gesellschaft finden, rät Rousseau zum Rückzug, dem Modell des Mannes am Rande der Gesellschaft. Green lehnt es nach einigem Hin und Her ab, solch eine egozentrische Reaktion zu tolerieren und besteht darauf, dass Ungehorsam gegenüber einem unrechtmäßigen Staat eine Form annehmen muss, die eine Reaktion in den Herzen aller Bürger hervorrufen kann – in diesem begrenzten Ausmaß muss Greens überlegener Mann, wie Rousseau es nicht darf, seine eigene Reinheit einem kleinen Gewinn für alle Bürger opfern.</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Wichtig ist daher, dass die Unterschiede zwischen Rousseau und Green leicht zusammengefasst werden können. Diese sind: erstens Greens Fortschritt im Gegensatz zu Rousseaus einheitlicher Auffassung von Mensch, Gesellschaft und Tugend; zweitens standen Greens Zuversicht und Optimismus, konkretisiert im Mechanismus der Geschichte, im Gegensatz zu Rousseaus Pessimismus; und drittens (um das Offensichtliche zu betonen) gibt es den Hund, der nicht gebellt hat, nämlich. die Tatsache, dass Green kein Sozialvertragsgerät verwendet hat.</w:t>
      </w:r>
    </w:p>
    <w:p>
      <w:pPr>
        <w:pStyle w:val="Flietext1"/>
        <w:keepNext w:val="false"/>
        <w:keepLines w:val="false"/>
        <w:widowControl w:val="false"/>
        <w:shd w:val="clear" w:color="auto" w:fill="auto"/>
        <w:bidi w:val="0"/>
        <w:spacing w:before="0" w:after="260"/>
        <w:ind w:left="0" w:right="0" w:firstLine="280"/>
        <w:jc w:val="both"/>
        <w:rPr/>
      </w:pPr>
      <w:r>
        <w:rPr>
          <w:color w:val="000000"/>
          <w:spacing w:val="0"/>
          <w:w w:val="100"/>
          <w:shd w:fill="auto" w:val="clear"/>
          <w:lang w:val="en-US" w:eastAsia="en-US" w:bidi="en-US"/>
        </w:rPr>
        <w:t>Wir können dann logischerweise weiter fragen, warum Green ein solches Gerät nicht verwendet hat, und es bieten sich eine Reihe von Vorschlägen an. Erstens ist seine Behandlung von „natürlichen“ Rechten insofern suggestiv, als er der Meinung ist, dass eine solche Sichtweise „einen Staat impliziert, in dem jeder frei ist, zu tun, was er will“, und auf dieser Grundlage fährt er fort, den Begriff neu zu definieren radikal andere Begriffe.629 Der historischen Fiktion des Vertrages wird der logische Ausgangspunkt verweigert. Zweitens (im Zusammenhang mit dem ersten) tendiert er zu einem voluntaristischen Verständnis der Zustimmung und damit zu einer historischen Herangehensweise an den Vertrag.630 Das heißt, sein Einwand ist die orthodoxe Auslegung des Vertrags. Drittens scheint es in Greens System keine wirkliche Sympathie für diese Art von Ansatz zu geben: Seine zentrale Figur ist nicht der hypothetische rationale Mensch der Aufklärung als abstraktes Modell, sondern der Durchschnittsbürger. Viertens, so wie es kein zeitloses Menschenbild gibt, so gibt es auch keine zeitlos gültige Vertragssubstanz, sondern eine fortschreitende und evolutionäre Konzeption der Gesellschaft; daher ist der statische und zeitlose Vertragskern nicht kongenial. Fünftens geht der Trend bei Grün letzten Endes weg von der Endgültigkeit der individuellen Beurteilung der moralischen Angemessenheit der Gesellschaft und hin zum Vertrauen auf den Mechanismus der Geschichte. Der Vertrag ist zeitlos und individuell; Den Interessen von Green in dieser Hinsicht wird am besten durch ein historischeres und unpersönlicheres Mittel gedient. Für das Verständnis von Green ist die fünfte Unterscheidung wahrscheinlich die wichtigste; streng philosophisch betrachtet ist die vierte die bedeutendste, und ich werde versuchen, sie an einem späteren Punkt vollständig zu behandeln.</w:t>
      </w:r>
    </w:p>
    <w:p>
      <w:pPr>
        <w:pStyle w:val="Flietext21"/>
        <w:keepNext w:val="false"/>
        <w:keepLines w:val="false"/>
        <w:widowControl w:val="false"/>
        <w:numPr>
          <w:ilvl w:val="0"/>
          <w:numId w:val="56"/>
        </w:numPr>
        <w:shd w:val="clear" w:color="auto" w:fill="auto"/>
        <w:tabs>
          <w:tab w:val="clear" w:pos="720"/>
          <w:tab w:val="left" w:pos="639" w:leader="none"/>
        </w:tabs>
        <w:bidi w:val="0"/>
        <w:spacing w:lineRule="auto" w:line="240" w:before="0" w:after="0"/>
        <w:ind w:left="0" w:right="0" w:firstLine="240"/>
        <w:jc w:val="left"/>
        <w:rPr/>
      </w:pPr>
      <w:r>
        <w:rPr>
          <w:color w:val="000000"/>
          <w:spacing w:val="0"/>
          <w:w w:val="100"/>
          <w:shd w:fill="auto" w:val="clear"/>
          <w:lang w:val="en-US" w:eastAsia="en-US" w:bidi="en-US"/>
        </w:rPr>
        <w:t>Grün, Politische Verpflichtung, Abschnitte Nr. 20, 22, 23, 24.</w:t>
      </w:r>
    </w:p>
    <w:p>
      <w:pPr>
        <w:pStyle w:val="Flietext21"/>
        <w:keepNext w:val="false"/>
        <w:keepLines w:val="false"/>
        <w:widowControl w:val="false"/>
        <w:numPr>
          <w:ilvl w:val="0"/>
          <w:numId w:val="56"/>
        </w:numPr>
        <w:shd w:val="clear" w:color="auto" w:fill="auto"/>
        <w:tabs>
          <w:tab w:val="clear" w:pos="720"/>
          <w:tab w:val="left" w:pos="639" w:leader="none"/>
        </w:tabs>
        <w:bidi w:val="0"/>
        <w:spacing w:before="0" w:after="200"/>
        <w:ind w:left="0" w:right="0" w:firstLine="240"/>
        <w:jc w:val="left"/>
        <w:rPr/>
      </w:pPr>
      <w:r>
        <w:rPr>
          <w:color w:val="000000"/>
          <w:spacing w:val="0"/>
          <w:w w:val="100"/>
          <w:shd w:fill="auto" w:val="clear"/>
          <w:lang w:val="en-US" w:eastAsia="en-US" w:bidi="en-US"/>
        </w:rPr>
        <w:t>Ebenda, Abschnitt Nr. 72.</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Die aus heutiger Sicht relevanteste Frage lautet: Welche Schwierigkeiten bereitet Green diese Vermeidung des Kontraktgeräts? Dies kann am besten beantwortet werden, indem man auf das offensichtliche Problem für Theorien wie Greens und den Gesellschaftsvertrag zurückkommt; das heißt, die Bedingungen, in denen man mit dem Individuum umgeht, das Einwände erhebt und anderer Meinung ist. (Man kann nicht „Abweichungen“ sagen, denn dies würde die Relevanz von „Zustimmung“ voraussetzen.) Angenommen, man muss sich mit dem Fall des Individuums auseinandersetzen, das grundsätzliche Einwände gegen seine Gesellschaft oder seinen Staat hat und daher jede Verpflichtung dazu zurückweisen oder leugnen möchte Gesellschaft oder Staat. Green scheint drei Angriffslinien zu haben, um mit einem solchen Fall fertig zu werden. First Green631 würde die Sozialisation, die prägenden Wirkungen der Gesellschaft auf das Individuum so stark betonen, dass man über das Auftreten eines solchen Falles erstaunt wäre. In Bezug auf die Reaktion ist es schwierig zu erkennen, woher ein solches Individuum gekommen sein könnte, da alles innerhalb des Individuums (Sprache, Konzepte, Moral) das Produkt der Gesellschaft ist; Unter den Äußerungen, die Undankbarkeit seitens eines solchen Einwänder suggerieren, gibt es weitere Obertöne buchstäblicher Ungläubigkeit. Zweitens, wenn ein solches Individuum nicht einfach wegdiskutiert werden kann, wird es in zweiter Entfernung seiner Gesellschaft assimiliert, indem darauf bestanden wird, dass jeder Ungehorsam so durchgeführt werden muss, dass er einen wirksamen Appell an die moralischen Gefühle der einzelnen Mitglieder dieser Gesellschaft ausübt. Schließlich, um es grob auszudrücken, schlägt er dem Einwänder mit den Mechanismen der Geschichte auf den Kopf – wenn Fragen sich selbst durch die Vermittlung einer höchsten Vernunft beantworten, ist es sowohl anmaßend als auch unnötig, dass jemand versucht, sie privat zu beantworten.</w:t>
      </w:r>
    </w:p>
    <w:p>
      <w:pPr>
        <w:pStyle w:val="Flietext1"/>
        <w:keepNext w:val="false"/>
        <w:keepLines w:val="false"/>
        <w:widowControl w:val="false"/>
        <w:shd w:val="clear" w:color="auto" w:fill="auto"/>
        <w:bidi w:val="0"/>
        <w:spacing w:before="0" w:after="260"/>
        <w:ind w:left="0" w:right="0" w:firstLine="300"/>
        <w:jc w:val="both"/>
        <w:rPr/>
      </w:pPr>
      <w:r>
        <w:rPr>
          <w:color w:val="000000"/>
          <w:spacing w:val="0"/>
          <w:w w:val="100"/>
          <w:shd w:fill="auto" w:val="clear"/>
          <w:lang w:val="en-US" w:eastAsia="en-US" w:bidi="en-US"/>
        </w:rPr>
        <w:t>Es besteht offensichtlich ein gewisser Zweifel, dass diese Antworten zufriedenstellend sind. Die erste beantwortet das Problem nicht so sehr, sondern weicht ihm aus; Anstatt zu erklären, warum sich ein solches Individuum verpflichtet fühlen sollte, bestreitet es, dass ein solches Individuum existieren könnte. Dabei tendiert er freilich zur Unpersönlichkeit des dritten Vorschlags: Wenn ich so sehr Produkt und Spiegelbild meiner Gesellschaft bin, dann kann durch die Gesellschaft und nicht durch mich moralischer Fortschritt in dieser erfolgen sucht nach sinnvoller Handlung nicht in der Spiegelung, sondern im reflektierten realen Objekt. Auch die zweite löst das Problem nicht, sondern wiederholt es nur in modifizierter Form – wenn man nicht überzeugt ist, dass man eine Verpflichtung gegenüber der Gesellschaft nicht ablehnen sollte, warum sollte man dann seinen Ungehorsam einschränken, um die Gesellschaft, die man ablehnt, zu verbessern? Der dritte ist offensichtlich so etwas wie ein zeitgebundener Vorschlag, ein Spiegelbild von Greens eigener historischer Periode, und der Glaube und das Vertrauen in die Unvermeidlichkeit des Fortschritts müssen nicht allgemein geteilt werden. (Sogar Hegel sagte in einigen Interpretationen lediglich, dass die gesamte bisherige Geschichte die Aufzeichnung des Fortschritts sei, und lehnte es ab, sich in Bezug auf die Zukunft festzulegen.)</w:t>
      </w:r>
    </w:p>
    <w:p>
      <w:pPr>
        <w:pStyle w:val="Flietext21"/>
        <w:keepNext w:val="false"/>
        <w:keepLines w:val="false"/>
        <w:widowControl w:val="false"/>
        <w:numPr>
          <w:ilvl w:val="0"/>
          <w:numId w:val="56"/>
        </w:numPr>
        <w:shd w:val="clear" w:color="auto" w:fill="auto"/>
        <w:tabs>
          <w:tab w:val="clear" w:pos="720"/>
          <w:tab w:val="left" w:pos="639" w:leader="none"/>
        </w:tabs>
        <w:bidi w:val="0"/>
        <w:spacing w:lineRule="auto" w:line="240" w:before="0" w:after="200"/>
        <w:ind w:left="0" w:right="0" w:firstLine="240"/>
        <w:jc w:val="left"/>
        <w:rPr/>
      </w:pPr>
      <w:r>
        <w:rPr>
          <w:color w:val="000000"/>
          <w:spacing w:val="0"/>
          <w:w w:val="100"/>
          <w:shd w:fill="auto" w:val="clear"/>
          <w:lang w:val="en-US" w:eastAsia="en-US" w:bidi="en-US"/>
        </w:rPr>
        <w:t>und Bradley – vgl. Anhang</w:t>
      </w:r>
    </w:p>
    <w:p>
      <w:pPr>
        <w:pStyle w:val="Flietext1"/>
        <w:keepNext w:val="false"/>
        <w:keepLines w:val="false"/>
        <w:widowControl w:val="false"/>
        <w:shd w:val="clear" w:color="auto" w:fill="auto"/>
        <w:bidi w:val="0"/>
        <w:spacing w:before="0" w:after="0"/>
        <w:ind w:left="0" w:right="0" w:firstLine="300"/>
        <w:jc w:val="both"/>
        <w:rPr/>
      </w:pPr>
      <w:r>
        <w:rPr>
          <w:color w:val="000000"/>
          <w:spacing w:val="0"/>
          <w:w w:val="100"/>
          <w:shd w:fill="auto" w:val="clear"/>
          <w:lang w:val="en-US" w:eastAsia="en-US" w:bidi="en-US"/>
        </w:rPr>
        <w:t>Wie im vorigen Abschnitt zur Demokratiekritik soll das Argument nicht endgültig sein, sondern auf einen einzigen spezifischen Zweck gerichtet sein, nämlich eine Art Rechtfertigung des Vertragskonzepts. Es wurde lediglich angedeutet, dass die Formulierung von Green an einem bestimmten Punkt auf Schwierigkeiten stößt, und dass dies genau der Punkt ist, auf den der Kontraktualismus am direktesten stößt. Gleichzeitig ist das Problem der möglichen Unvereinbarkeit von Vertrag und progressivem Moralverständnis lediglich auf den Tisch gelegt worden.</w:t>
      </w:r>
    </w:p>
    <w:p>
      <w:pPr>
        <w:sectPr>
          <w:footerReference w:type="even" r:id="rId27"/>
          <w:footerReference w:type="default" r:id="rId28"/>
          <w:type w:val="nextPage"/>
          <w:pgSz w:w="12240" w:h="15840"/>
          <w:pgMar w:left="1486" w:right="1484" w:gutter="0" w:header="0" w:top="1432" w:footer="782" w:bottom="1210"/>
          <w:pgNumType w:fmt="decimal"/>
          <w:formProt w:val="false"/>
          <w:textDirection w:val="lrTb"/>
          <w:docGrid w:type="default" w:linePitch="360" w:charSpace="0"/>
        </w:sect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Es wurde bereits angedeutet, dass ein unterstellter Vertrag zwei Elemente umfasst: erstens eine substanzielle Theorie, die normalerweise ethisch ist; und zweitens der Vertrag als Zugangsinstrument zu ersterem. Das Gerät ohne die Substanz, nämlich die Theorie des demokratischen Konsenses, wurde als fehlerhaft und unbefriedigend zurückgewiesen. Die Substanz ohne das Gerät, insbesondere T.H. Greens Theorie der politischen Verpflichtung funktioniert viel besser, stößt aber immer noch auf ernsthafte Schwierigkeiten. Die Lösung, die sich daher bietet, wird im Schlußabschnitt versucht, nämlich die beiden Teile wieder zusammenzusetzen.</w:t>
      </w:r>
    </w:p>
    <w:p>
      <w:pPr>
        <w:pStyle w:val="Berschrift11"/>
        <w:keepNext w:val="true"/>
        <w:keepLines/>
        <w:widowControl w:val="false"/>
        <w:numPr>
          <w:ilvl w:val="0"/>
          <w:numId w:val="57"/>
        </w:numPr>
        <w:shd w:val="clear" w:color="auto" w:fill="auto"/>
        <w:tabs>
          <w:tab w:val="clear" w:pos="720"/>
          <w:tab w:val="left" w:pos="668" w:leader="none"/>
        </w:tabs>
        <w:bidi w:val="0"/>
        <w:spacing w:lineRule="auto" w:line="240" w:before="0" w:after="440"/>
        <w:ind w:left="0" w:right="0" w:hanging="0"/>
        <w:jc w:val="both"/>
        <w:rPr/>
      </w:pPr>
      <w:hyperlink w:anchor="bookmark16" w:tgtFrame="Current Document">
        <w:bookmarkStart w:id="42" w:name="bookmark51"/>
        <w:bookmarkStart w:id="43" w:name="bookmark53"/>
        <w:bookmarkStart w:id="44" w:name="bookmark52"/>
        <w:r>
          <w:rPr>
            <w:spacing w:val="0"/>
            <w:w w:val="100"/>
            <w:shd w:fill="auto" w:val="clear"/>
            <w:lang w:val="en-US" w:eastAsia="en-US" w:bidi="en-US"/>
          </w:rPr>
          <w:t>Abschluss</w:t>
        </w:r>
      </w:hyperlink>
      <w:bookmarkEnd w:id="42"/>
      <w:bookmarkEnd w:id="43"/>
      <w:bookmarkEnd w:id="44"/>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Es wurde bereits angedeutet, dass die historischen Kontraktualisten dazu neigen, zu schnell von vielen Darstellungen der politischen Verpflichtung abgewiesen zu werden, normalerweise mit dem Hinweis, dass sie die Natur des Problems grundlegend missverstanden oder grundlegende logische Fehler gemacht haben, als sie versuchten, eine Antwort zu finden. Es kann daher sinnvoll sein, die gebräuchlichsten Begriffe dieser Anklagen zu untersuchen und zu prüfen, inwieweit (falls zutreffend) sie für das unterstellte Vertragsmodell relevant sind.</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Da sind zunächst die Einwände, die gegen den als historisch angesehenen „ursprünglichen“ Vertrag erhoben werden, beispielsweise von Hume in seinem berühmten Aufsatz.632 Dieser Angriff enthält zwei allgemeine Punkte. Erstens wird behauptet, dass es keinen Beweis dafür gibt, dass jemals ein ursprünglicher Vertrag stattgefunden hat, und dass es tatsächlich viele Hinweise darauf gibt, dass die Gesellschaft ganz andere Ursprünge hatte; und selbst wenn wir nachweisen könnten, dass der ursprüngliche Vertrag zustande gekommen ist, wäre es praktisch unmöglich, seinen Kontakt zu ermitteln. Zweitens ist angesichts der Tatsache, dass die Gesellschaft schon etwas älter ist, schwer einzusehen, wie oder warum die Zustimmung meines Urgroßvaters mich zum Gehorsam verpflichten oder sogar moralisch relevant für meine Entscheidung sein könnte, ob ich gehorchen soll oder nicht. Die Verpflichtung auf den historischen Originalvertrag zu stützen, der geschlossen wird, scheitert vollständig, da er weder beweisen kann, dass der Vertrag zustande gekommen ist, noch warum er bindend wäre, wenn dies der Fall wäre. Der erste Einwand versucht, aus dem Vertragspartner einen Historiker zu machen, und zwar einen schlechten Historiker, der den Unterschied zwischen Geschichte und Philosophie nicht erkennen kann.</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Offensichtlich gilt dieses Argument mit einiger Kraft gegen Locke, der von ursprünglichen Verträgen sprach, die im Nebel der Vorgeschichte verborgen waren, und eine ziemlich transparente stillschweigende Zustimmung entwickelte, die nachfolgende Generationen bindet. Locke wurde jedoch bereits als der am wenigsten konsequente und rigorose Vertreter des unterstellten Vertrags bezeichnet, und soweit er in eine Folge des unterstellten Kontraktualismus eingeordnet werden kann, geschieht dies nur, indem er solche Merkmale als sekundäre Abweichungen von der Grundlogik ablehnt des Modells. Der unterstellte Vertrag handelt nicht von einem tatsächlichen historischen Vertrag am Ursprung der Gesellschaft; vielmehr geht es um die logischen Grundlagen einer legitimen Gesellschaft. Die Frage, woher wir wissen, dass es einen Vertrag gibt, wird wirklich durch die Behauptung „beantwortet“, dass nur der Vertrag (als Kategorie des Versprechens) die von der ursprünglichen individualistischen Prämisse festgelegten Bedingungen erfüllen kann.</w:t>
      </w:r>
    </w:p>
    <w:p>
      <w:pPr>
        <w:pStyle w:val="Flietext1"/>
        <w:keepNext w:val="false"/>
        <w:keepLines w:val="false"/>
        <w:widowControl w:val="false"/>
        <w:shd w:val="clear" w:color="auto" w:fill="auto"/>
        <w:bidi w:val="0"/>
        <w:spacing w:before="0" w:after="280"/>
        <w:ind w:left="0" w:right="0" w:hanging="0"/>
        <w:jc w:val="both"/>
        <w:rPr/>
      </w:pPr>
      <w:r>
        <w:rPr>
          <w:color w:val="000000"/>
          <w:spacing w:val="0"/>
          <w:w w:val="100"/>
          <w:shd w:fill="auto" w:val="clear"/>
          <w:lang w:val="en-US" w:eastAsia="en-US" w:bidi="en-US"/>
        </w:rPr>
        <w:t>Die Frage nach dem Inhalt des Vertrags wird durch den starken Rationalismus des unterstellten Vertrags beantwortet und ist nur dann wirklich ein Problem, wenn der Vertrag freiwillig ist, was der unterstellte Vertrag nicht ist. Schließlich ist die Frage nach der Zustimmung meines Großvaters nebensächlich; nicht die tatsächliche historische Zustimmung eines isolierbaren konkreten Individuums ist wichtig, sondern die zeitlose Zustimmung eines hypothetischen rationalen Menschen, und dies ist sowohl für meinen Großvater als auch für mich relevant, sofern wir rationale Menschen sind.</w:t>
      </w:r>
    </w:p>
    <w:p>
      <w:pPr>
        <w:pStyle w:val="Flietext21"/>
        <w:keepNext w:val="false"/>
        <w:keepLines w:val="false"/>
        <w:widowControl w:val="false"/>
        <w:numPr>
          <w:ilvl w:val="0"/>
          <w:numId w:val="56"/>
        </w:numPr>
        <w:shd w:val="clear" w:color="auto" w:fill="auto"/>
        <w:tabs>
          <w:tab w:val="clear" w:pos="720"/>
          <w:tab w:val="left" w:pos="625" w:leader="none"/>
        </w:tabs>
        <w:bidi w:val="0"/>
        <w:spacing w:lineRule="auto" w:line="213" w:before="0" w:after="200"/>
        <w:ind w:left="0" w:right="0" w:firstLine="300"/>
        <w:jc w:val="both"/>
        <w:rPr/>
      </w:pPr>
      <w:r>
        <w:rPr>
          <w:color w:val="000000"/>
          <w:spacing w:val="0"/>
          <w:w w:val="100"/>
          <w:shd w:fill="auto" w:val="clear"/>
          <w:lang w:val="en-US" w:eastAsia="en-US" w:bidi="en-US"/>
        </w:rPr>
        <w:t>Vgl. David Hume, „Of the Original Contract“, in David Humes Political Essays, hrsg. von Charles W. Hendel (Indianapolis und New York: Bobbs Merrill Ltd., 1953).</w:t>
      </w:r>
    </w:p>
    <w:p>
      <w:pPr>
        <w:pStyle w:val="Flietext1"/>
        <w:keepNext w:val="false"/>
        <w:keepLines w:val="false"/>
        <w:widowControl w:val="false"/>
        <w:shd w:val="clear" w:color="auto" w:fill="auto"/>
        <w:bidi w:val="0"/>
        <w:spacing w:before="0" w:after="0"/>
        <w:ind w:left="0" w:right="0" w:firstLine="300"/>
        <w:jc w:val="both"/>
        <w:rPr/>
      </w:pPr>
      <w:r>
        <w:rPr>
          <w:color w:val="000000"/>
          <w:spacing w:val="0"/>
          <w:w w:val="100"/>
          <w:shd w:fill="auto" w:val="clear"/>
          <w:vertAlign w:val="superscript"/>
          <w:lang w:val="en-US" w:eastAsia="en-US" w:bidi="en-US"/>
        </w:rPr>
        <w:t>Der zweite Einwand ist eine Variation des Zeitmotivs; Anstatt zu fragen, warum ein Mann an die Zustimmung seines Großvaters gebunden ist, fragt es, warum ein Mann an seine eigene, zu einem früheren Zeitpunkt erteilte Zustimmung gebunden ist. Richard E. Flathman charakterisiert die Vertragstheorie als eine Unterkategorie der Verpflichtungstheorien der vergangenen Zustimmung und findet darin ihren grundlegenden Fehler diese Regierung, von der ich viele offensichtlich nicht vorhersehen kann? Wenn sich die Regierung auf eine Weise verhält, die ich nicht gutheiße, oder etwas tut, das ich für falsch halte, oder Rechte, die sie zuvor geschützt hat, mit Füßen tritt oder zu einer aggressiven Macht wird, was ist dann die Relevanz für die Frage meine Verpflichtung, dass ich irgendwann in der Vergangenheit zugestimmt habe? Eine Theorie, die auf vergangener Zustimmung basiert, argumentiert er, ist daher fehlerhaft; selbst ein System, das auf gegenwärtiger Zustimmung basiert, scheitert, obwohl es diesen logischen Fehler vermeidet, an der Unmöglichkeit, nachzuweisen, dass die Mehrheit der Menschen tatsächlich in einer bestimmten Situation zustimmt.634</w:t>
      </w:r>
    </w:p>
    <w:p>
      <w:pPr>
        <w:pStyle w:val="Flietext1"/>
        <w:keepNext w:val="false"/>
        <w:keepLines w:val="false"/>
        <w:widowControl w:val="false"/>
        <w:shd w:val="clear" w:color="auto" w:fill="auto"/>
        <w:bidi w:val="0"/>
        <w:spacing w:before="0" w:after="260"/>
        <w:ind w:left="0" w:right="0" w:firstLine="300"/>
        <w:jc w:val="both"/>
        <w:rPr/>
      </w:pPr>
      <w:r>
        <w:rPr>
          <w:color w:val="000000"/>
          <w:spacing w:val="0"/>
          <w:w w:val="100"/>
          <w:shd w:fill="auto" w:val="clear"/>
          <w:lang w:val="en-US" w:eastAsia="en-US" w:bidi="en-US"/>
        </w:rPr>
        <w:t>Auch dieses Argument gleitet einfach am unterstellten Vertrag vorbei. Die Zustimmung zum unterstellten Vertrag ist nicht „vergangen“, sondern zeitlos; wenn das System, in dem ich lebe, zu irgendeiner Zeit so ist, dass es die Zustimmung eines vernünftigen Menschen erzwingt, dann bin ich verpflichtet zu gehorchen; Wenn es sich zu einem anderen Zeitpunkt so ändert, dass es die Zustimmung eines vernünftigen Menschen nicht erzwingt, dann hört meine Verpflichtung auf, und meine frühere Zustimmung zu einer anderen Art von System ist irrelevant. Flathmans Einwand schlägt fehl, weil unterstellte Zustimmung keine vergangene Zustimmung ist (tatsächlich tritt sie überhaupt außerhalb der historischen Zeit auf), und folglich ist die Reduzierung des Gesellschaftsvertrags auf eine vergangene Zustimmungstheorie übereilt. Die Kritik an gegenwärtigen Zustimmungstheorien ist ebenso weit verfehlt, da der unterstellte Vertrag nicht voluntaristisch ist; Wenn nachgewiesen werden kann, dass ein vernünftiger Mensch zustimmen würde, muss nicht empirisch festgestellt werden, ob bestimmte Personen ihre Zustimmung gegeben haben oder nicht, ebenso wenig wie mathematische Beweise öffentlichen Referenden vorgelegt werden.</w:t>
      </w:r>
    </w:p>
    <w:p>
      <w:pPr>
        <w:pStyle w:val="Flietext21"/>
        <w:keepNext w:val="false"/>
        <w:keepLines w:val="false"/>
        <w:widowControl w:val="false"/>
        <w:numPr>
          <w:ilvl w:val="0"/>
          <w:numId w:val="56"/>
        </w:numPr>
        <w:shd w:val="clear" w:color="auto" w:fill="auto"/>
        <w:tabs>
          <w:tab w:val="clear" w:pos="720"/>
          <w:tab w:val="left" w:pos="645" w:leader="none"/>
        </w:tabs>
        <w:bidi w:val="0"/>
        <w:spacing w:lineRule="auto" w:line="240" w:before="0" w:after="0"/>
        <w:ind w:left="0" w:right="0" w:firstLine="260"/>
        <w:jc w:val="left"/>
        <w:rPr/>
      </w:pPr>
      <w:r>
        <w:rPr>
          <w:color w:val="000000"/>
          <w:spacing w:val="0"/>
          <w:w w:val="100"/>
          <w:shd w:fill="auto" w:val="clear"/>
          <w:lang w:val="en-US" w:eastAsia="en-US" w:bidi="en-US"/>
        </w:rPr>
        <w:t>Richard E. Flathman, Politische Verpflichtung (New York; Atheneum, 1972), S. 205-2</w:t>
      </w:r>
    </w:p>
    <w:p>
      <w:pPr>
        <w:pStyle w:val="Flietext21"/>
        <w:keepNext w:val="false"/>
        <w:keepLines w:val="false"/>
        <w:widowControl w:val="false"/>
        <w:numPr>
          <w:ilvl w:val="0"/>
          <w:numId w:val="56"/>
        </w:numPr>
        <w:shd w:val="clear" w:color="auto" w:fill="auto"/>
        <w:tabs>
          <w:tab w:val="clear" w:pos="720"/>
          <w:tab w:val="left" w:pos="650" w:leader="none"/>
        </w:tabs>
        <w:bidi w:val="0"/>
        <w:spacing w:lineRule="auto" w:line="208" w:before="0" w:after="200"/>
        <w:ind w:left="0" w:right="0" w:firstLine="260"/>
        <w:jc w:val="left"/>
        <w:rPr/>
      </w:pPr>
      <w:r>
        <w:rPr>
          <w:color w:val="000000"/>
          <w:spacing w:val="0"/>
          <w:w w:val="100"/>
          <w:shd w:fill="auto" w:val="clear"/>
          <w:lang w:val="en-US" w:eastAsia="en-US" w:bidi="en-US"/>
        </w:rPr>
        <w:t>Ebenda, S.231</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Ein dritter Ansatz besteht darin, zu versuchen, die Logik der Vertragstheorie aufzubrechen, und dies kann eine Reihe von Formen annehmen. Sabine argumentiert gegen Hobbes, dass, wenn Männer in der Lage wären, einen Vertrag abzuschließen, sie niemals ohne ihn wären (und ihn wahrscheinlich nicht brauchen würden), und wenn sie in der Lage wären, einen Vertrag zu benötigen, könnten sie keinen Vertrag abschließen 1.635 Charvet möchte wissen, welchen möglichen Nutzen es für eine Diskussion über die Pflichten des Menschen in der Gesellschaft haben könnte, vorsoziale Formen menschlichen Verhaltens zu untersuchen.636 Hume argumentiert, dass Verträge selbst ohne eine vorherige diesbezügliche Konvention nicht binden würden , und kann sich nicht selbst rechtfertigen.637 Alle drei bewirken, dass der Kontraktualismus als logisch fehlerhaft abgetan wird.</w:t>
      </w:r>
    </w:p>
    <w:p>
      <w:pPr>
        <w:pStyle w:val="Flietext1"/>
        <w:keepNext w:val="false"/>
        <w:keepLines w:val="false"/>
        <w:widowControl w:val="false"/>
        <w:shd w:val="clear" w:color="auto" w:fill="auto"/>
        <w:bidi w:val="0"/>
        <w:spacing w:before="0" w:after="260"/>
        <w:ind w:left="0" w:right="0" w:firstLine="280"/>
        <w:jc w:val="both"/>
        <w:rPr/>
      </w:pPr>
      <w:r>
        <w:rPr>
          <w:color w:val="000000"/>
          <w:spacing w:val="0"/>
          <w:w w:val="100"/>
          <w:shd w:fill="auto" w:val="clear"/>
          <w:lang w:val="en-US" w:eastAsia="en-US" w:bidi="en-US"/>
        </w:rPr>
        <w:t>Aber allen dreien kann die gleiche Antwort gegeben werden: Der unterstellte Vertrag befasst sich nicht mit den Ursprüngen, sondern mit der Rechtfertigung der Gesellschaft. Die Vertragsparteien konnten die Tatsache der menschlichen Gesellschaft erkennen und versuchten zu erklären, warum Individuen diese Tatsache akzeptieren und mit ihr kooperieren sollten; woher die Gesellschaft kam, war unwichtig; entscheidend war, wie es aussehen sollte und wie die Mitglieder über das Unternehmen denken sollten, an dem sie beteiligt waren. Die Ursprünge der Gesellschaft mit einer Praxis zu erklären, die nur in einem etablierten Kontext sozialer Interaktion Bedeutung haben kann, ist natürlich ein logischer Fehler; die Gesellschaft in solchen Begriffen zu rechtfertigen, ist eine ganz andere Sache. Der von Sabine und Charvet beklagte „Naturzustand“ ist ein Versuch, nicht Geschichte zu schreiben, sondern die wesentliche ahistorische Natur des Menschen zu abstrahieren, der so eingesetzt wird, dass jeder Mensch nur als ein Beispiel für einen generischen Menschen betrachtet wird von jeglicher Macht oder Reichtum oder besonderen Vorteilen, die er möglicherweise genießen könnte.</w:t>
      </w:r>
    </w:p>
    <w:p>
      <w:pPr>
        <w:pStyle w:val="Flietext21"/>
        <w:keepNext w:val="false"/>
        <w:keepLines w:val="false"/>
        <w:widowControl w:val="false"/>
        <w:numPr>
          <w:ilvl w:val="0"/>
          <w:numId w:val="56"/>
        </w:numPr>
        <w:shd w:val="clear" w:color="auto" w:fill="auto"/>
        <w:tabs>
          <w:tab w:val="clear" w:pos="720"/>
          <w:tab w:val="left" w:pos="650" w:leader="none"/>
        </w:tabs>
        <w:bidi w:val="0"/>
        <w:spacing w:lineRule="auto" w:line="240" w:before="0" w:after="0"/>
        <w:ind w:left="0" w:right="0" w:firstLine="260"/>
        <w:jc w:val="both"/>
        <w:rPr/>
      </w:pPr>
      <w:r>
        <w:rPr>
          <w:color w:val="000000"/>
          <w:spacing w:val="0"/>
          <w:w w:val="100"/>
          <w:shd w:fill="auto" w:val="clear"/>
          <w:lang w:val="en-US" w:eastAsia="en-US" w:bidi="en-US"/>
        </w:rPr>
        <w:t>Sabine, Eine Geschichte der politischen Theorie, S.465</w:t>
      </w:r>
    </w:p>
    <w:p>
      <w:pPr>
        <w:pStyle w:val="Flietext21"/>
        <w:keepNext w:val="false"/>
        <w:keepLines w:val="false"/>
        <w:widowControl w:val="false"/>
        <w:numPr>
          <w:ilvl w:val="0"/>
          <w:numId w:val="56"/>
        </w:numPr>
        <w:shd w:val="clear" w:color="auto" w:fill="auto"/>
        <w:tabs>
          <w:tab w:val="clear" w:pos="720"/>
          <w:tab w:val="left" w:pos="650" w:leader="none"/>
        </w:tabs>
        <w:bidi w:val="0"/>
        <w:spacing w:before="0" w:after="0"/>
        <w:ind w:left="0" w:right="0" w:firstLine="260"/>
        <w:jc w:val="both"/>
        <w:rPr/>
      </w:pPr>
      <w:r>
        <w:rPr>
          <w:color w:val="000000"/>
          <w:spacing w:val="0"/>
          <w:w w:val="100"/>
          <w:shd w:fill="auto" w:val="clear"/>
          <w:lang w:val="en-US" w:eastAsia="en-US" w:bidi="en-US"/>
        </w:rPr>
        <w:t>Charvet, "Die Idee der Gleichheit als wesentliches Prinzip der Gesellschaft", S.156</w:t>
      </w:r>
    </w:p>
    <w:p>
      <w:pPr>
        <w:pStyle w:val="Flietext21"/>
        <w:keepNext w:val="false"/>
        <w:keepLines w:val="false"/>
        <w:widowControl w:val="false"/>
        <w:numPr>
          <w:ilvl w:val="0"/>
          <w:numId w:val="56"/>
        </w:numPr>
        <w:shd w:val="clear" w:color="auto" w:fill="auto"/>
        <w:tabs>
          <w:tab w:val="clear" w:pos="720"/>
          <w:tab w:val="left" w:pos="650" w:leader="none"/>
        </w:tabs>
        <w:bidi w:val="0"/>
        <w:spacing w:lineRule="auto" w:line="220" w:before="0" w:after="200"/>
        <w:ind w:left="0" w:right="0" w:firstLine="260"/>
        <w:jc w:val="both"/>
        <w:rPr/>
      </w:pPr>
      <w:r>
        <w:rPr>
          <w:color w:val="000000"/>
          <w:spacing w:val="0"/>
          <w:w w:val="100"/>
          <w:shd w:fill="auto" w:val="clear"/>
          <w:lang w:val="en-US" w:eastAsia="en-US" w:bidi="en-US"/>
        </w:rPr>
        <w:t>Hume, "Of the Original Contract", S.56</w:t>
      </w:r>
    </w:p>
    <w:p>
      <w:pPr>
        <w:pStyle w:val="Flietext1"/>
        <w:keepNext w:val="false"/>
        <w:keepLines w:val="false"/>
        <w:widowControl w:val="false"/>
        <w:shd w:val="clear" w:color="auto" w:fill="auto"/>
        <w:bidi w:val="0"/>
        <w:spacing w:lineRule="auto" w:line="261" w:before="0" w:after="220"/>
        <w:ind w:left="0" w:right="0" w:firstLine="280"/>
        <w:jc w:val="both"/>
        <w:rPr/>
      </w:pPr>
      <w:r>
        <w:rPr>
          <w:color w:val="000000"/>
          <w:spacing w:val="0"/>
          <w:w w:val="100"/>
          <w:shd w:fill="auto" w:val="clear"/>
          <w:lang w:val="en-US" w:eastAsia="en-US" w:bidi="en-US"/>
        </w:rPr>
        <w:t>Der vierte Einwand gegen den Kontraktarismus, nämlich der von Edmund Burke, ist etwas schwerer einzuordnen. Genau genommen ist es keine Widerlegung von</w:t>
      </w:r>
    </w:p>
    <w:p>
      <w:pPr>
        <w:pStyle w:val="Flietext1"/>
        <w:keepNext w:val="false"/>
        <w:keepLines w:val="false"/>
        <w:widowControl w:val="false"/>
        <w:shd w:val="clear" w:color="auto" w:fill="auto"/>
        <w:bidi w:val="0"/>
        <w:spacing w:before="0" w:after="280"/>
        <w:ind w:left="0" w:right="0" w:hanging="0"/>
        <w:jc w:val="both"/>
        <w:rPr/>
      </w:pPr>
      <w:r>
        <w:rPr>
          <w:color w:val="000000"/>
          <w:spacing w:val="0"/>
          <w:w w:val="100"/>
          <w:shd w:fill="auto" w:val="clear"/>
          <w:vertAlign w:val="superscript"/>
          <w:lang w:val="en-US" w:eastAsia="en-US" w:bidi="en-US"/>
        </w:rPr>
        <w:t>Vertrag so sehr als eine Modifikation davon, aber da die Modifikation den Effekt hat, alles zu untergraben, wofür der Contractarianismus stand, ist dies eine Unterscheidung ohne Unterschied. Der hypothetische Zustand der Natur wird zurückgewiesen638 in Begriffen, die nur auf das endlose Gerede über die Bedeutung und den Gebrauch von „natürlich“ hinauslaufen. Noch wichtiger ist, dass der Ein-für-allemal-Vertrag als unzureichend abgelehnt und durch eine endlose Reihe von Verträgen und Vertragsänderungen und Vertragsverlängerungen ersetzt wird,639 wobei das gegebene Gesellschaftssystem als komplexes Produkt eines komplexen Vertrages einschließlich entsteht nicht nur die gegenwärtige Generation, sondern auch diejenigen, die früher gegangen sind, und diejenigen, die noch nicht geboren sind. Der Kern des Vertragsgedankens bleibt erhalten, nämlich die Konzeption der Regierung als bedingte Machtgewährung durch das Volk und das Geschöpf seiner Interessen und seines Wollens, aber gerade weil der Vertrag so vielfältig und unfreiwillig in seinen Wirkungen und so amorph in seinen Wirkungen ist Inhalt (wie befragt man die Ungeborenen?), beraubt dies das Modell seiner dramatischen Kraft als potentieller Fanfarenruf zur Revolte. Eine der Qualitäten des Vertrages war seine Klarheit und Direktheit; Burke schwächte diesen Effekt ab, nicht indem er ihn widerlegte, sondern indem er ihn zerstreute und absorbierte – die Konsenstheorie ist eine Verfahrensethik –, indem er den Prozess kompliziert und verwirrend machte, beraubte er die Ethik jeder Möglichkeit einer eindeutigen Vorschrift. Wie Laski anmerkt, „(a)nachdem (Burke) sich mit der Vertragstheorie befasst hatte, hörte sie auf, die politische Spekulation in England zu beeinflussen.“640</w:t>
      </w:r>
    </w:p>
    <w:p>
      <w:pPr>
        <w:pStyle w:val="Flietext21"/>
        <w:keepNext w:val="false"/>
        <w:keepLines w:val="false"/>
        <w:widowControl w:val="false"/>
        <w:numPr>
          <w:ilvl w:val="0"/>
          <w:numId w:val="58"/>
        </w:numPr>
        <w:shd w:val="clear" w:color="auto" w:fill="auto"/>
        <w:tabs>
          <w:tab w:val="clear" w:pos="720"/>
          <w:tab w:val="left" w:pos="625" w:leader="none"/>
        </w:tabs>
        <w:bidi w:val="0"/>
        <w:spacing w:lineRule="auto" w:line="213" w:before="0" w:after="0"/>
        <w:ind w:left="0" w:right="0" w:firstLine="260"/>
        <w:jc w:val="both"/>
        <w:rPr/>
      </w:pPr>
      <w:r>
        <w:rPr>
          <w:color w:val="000000"/>
          <w:spacing w:val="0"/>
          <w:w w:val="100"/>
          <w:shd w:fill="auto" w:val="clear"/>
          <w:lang w:val="en-US" w:eastAsia="en-US" w:bidi="en-US"/>
        </w:rPr>
        <w:t>vgl. Francis P. Canavan, The Political Reason of Edmund Burke, (Durham, NC: Duke University Press, 1960), S. 86</w:t>
      </w:r>
    </w:p>
    <w:p>
      <w:pPr>
        <w:pStyle w:val="Flietext21"/>
        <w:keepNext w:val="false"/>
        <w:keepLines w:val="false"/>
        <w:widowControl w:val="false"/>
        <w:numPr>
          <w:ilvl w:val="0"/>
          <w:numId w:val="58"/>
        </w:numPr>
        <w:shd w:val="clear" w:color="auto" w:fill="auto"/>
        <w:tabs>
          <w:tab w:val="clear" w:pos="720"/>
          <w:tab w:val="left" w:pos="620" w:leader="none"/>
        </w:tabs>
        <w:bidi w:val="0"/>
        <w:spacing w:lineRule="auto" w:line="216" w:before="0" w:after="220"/>
        <w:ind w:left="0" w:right="0" w:firstLine="260"/>
        <w:jc w:val="both"/>
        <w:rPr/>
      </w:pPr>
      <w:r>
        <w:rPr>
          <w:color w:val="000000"/>
          <w:spacing w:val="0"/>
          <w:w w:val="100"/>
          <w:shd w:fill="auto" w:val="clear"/>
          <w:lang w:val="en-US" w:eastAsia="en-US" w:bidi="en-US"/>
        </w:rPr>
        <w:t>vgl. David Robertson Cameron, An Examination of Some Affinities in the Writings of Edmund Burke and Jean-Jacques Rousseau, (Doktorarbeit, University of London, 1969), S. 274-6</w:t>
      </w:r>
    </w:p>
    <w:p>
      <w:pPr>
        <w:pStyle w:val="Flietext1"/>
        <w:keepNext w:val="false"/>
        <w:keepLines w:val="false"/>
        <w:widowControl w:val="false"/>
        <w:shd w:val="clear" w:color="auto" w:fill="auto"/>
        <w:bidi w:val="0"/>
        <w:spacing w:before="0" w:after="240"/>
        <w:ind w:left="0" w:right="0" w:firstLine="260"/>
        <w:jc w:val="both"/>
        <w:rPr/>
      </w:pPr>
      <w:r>
        <w:rPr>
          <w:color w:val="000000"/>
          <w:spacing w:val="0"/>
          <w:w w:val="100"/>
          <w:shd w:fill="auto" w:val="clear"/>
          <w:lang w:val="en-US" w:eastAsia="en-US" w:bidi="en-US"/>
        </w:rPr>
        <w:t>Aber der unterstellte Vertrag ist nicht so leicht zu untergraben. Da es auf die zeitlose Zustimmung eines hypothetischen rationalen Menschen ankommt, wird die zeitliche Verortung von Individuen unwichtig; es ist kein Vertrag zwischen den Lebenden, den Toten und den noch Ungeborenen, sondern eher ein Vertrag zwischen vernünftigen Menschen, Beispielen des generischen Menschen. Wichtig bei den Vertragsparteien ist nicht ihre einzigartige Individualität, sondern die Rationalität, die sie gemeinsam haben und kraft derer sie Männer sind. Da die Betonung auf der rational erzwungenen Zustimmung und nicht auf der Freiwilligkeit liegt, widersetzt sich das unterstellte Vertragsmodell dem Burkeschen Versuch, Einzelheiten des Vertragsinhalts der direkten Überprüfung zu entziehen, indem es den Prozess verschleiert und verschleiert; Eine solche Überprüfung ist ein konstanter und wesentlicher Bestandteil des unterstellten Modells.</w:t>
      </w:r>
    </w:p>
    <w:p>
      <w:pPr>
        <w:pStyle w:val="Flietext1"/>
        <w:keepNext w:val="false"/>
        <w:keepLines w:val="false"/>
        <w:widowControl w:val="false"/>
        <w:shd w:val="clear" w:color="auto" w:fill="auto"/>
        <w:bidi w:val="0"/>
        <w:spacing w:before="0" w:after="280"/>
        <w:ind w:left="0" w:right="0" w:hanging="0"/>
        <w:jc w:val="both"/>
        <w:rPr/>
      </w:pPr>
      <w:r>
        <w:rPr>
          <w:color w:val="000000"/>
          <w:spacing w:val="0"/>
          <w:w w:val="100"/>
          <w:shd w:fill="auto" w:val="clear"/>
          <w:lang w:val="en-US" w:eastAsia="en-US" w:bidi="en-US"/>
        </w:rPr>
        <w:t>Die Einfachheit der dramatischen Anziehungskraft wird wiederhergestellt; die Theorie bleibt ein Schlagwort für den Widerstand gegen jede Gesellschaftsform, die nicht die Zustimmung eines vernünftigen Menschen erzwingt.</w:t>
      </w:r>
    </w:p>
    <w:p>
      <w:pPr>
        <w:pStyle w:val="Flietext21"/>
        <w:keepNext w:val="false"/>
        <w:keepLines w:val="false"/>
        <w:widowControl w:val="false"/>
        <w:numPr>
          <w:ilvl w:val="0"/>
          <w:numId w:val="58"/>
        </w:numPr>
        <w:shd w:val="clear" w:color="auto" w:fill="auto"/>
        <w:tabs>
          <w:tab w:val="clear" w:pos="720"/>
          <w:tab w:val="left" w:pos="620" w:leader="none"/>
        </w:tabs>
        <w:bidi w:val="0"/>
        <w:spacing w:lineRule="auto" w:line="213" w:before="0" w:after="220"/>
        <w:ind w:left="0" w:right="0" w:firstLine="300"/>
        <w:jc w:val="both"/>
        <w:rPr/>
      </w:pPr>
      <w:r>
        <w:rPr>
          <w:color w:val="000000"/>
          <w:spacing w:val="0"/>
          <w:w w:val="100"/>
          <w:shd w:fill="auto" w:val="clear"/>
          <w:lang w:val="en-US" w:eastAsia="en-US" w:bidi="en-US"/>
        </w:rPr>
        <w:t>Harold J. Laski, Political Thought in England: Locke to Bentham, (London: Oxford University Press, 1945), S. 50</w:t>
      </w:r>
    </w:p>
    <w:p>
      <w:pPr>
        <w:pStyle w:val="Flietext1"/>
        <w:keepNext w:val="false"/>
        <w:keepLines w:val="false"/>
        <w:widowControl w:val="false"/>
        <w:shd w:val="clear" w:color="auto" w:fill="auto"/>
        <w:bidi w:val="0"/>
        <w:spacing w:before="0" w:after="220"/>
        <w:ind w:left="0" w:right="0" w:firstLine="300"/>
        <w:jc w:val="both"/>
        <w:rPr/>
      </w:pPr>
      <w:r>
        <w:rPr>
          <w:color w:val="000000"/>
          <w:spacing w:val="0"/>
          <w:w w:val="100"/>
          <w:shd w:fill="auto" w:val="clear"/>
          <w:lang w:val="en-US" w:eastAsia="en-US" w:bidi="en-US"/>
        </w:rPr>
        <w:t>Zur Erinnerung: Es gibt zwei Gründe, warum das Gesellschaftsvertragsmodell als adäquate Antwort auf das Problem der politischen Verpflichtung meist vorschnell abgelehnt wird. Erstens sollen die historischen Kontraktualisten von logischen Ungereimtheiten, Widersprüchen und grundlegenden Fehlern durchsetzt sein. Im Fall der drei prominentesten Gesellschaftsvertragstheoretiker (Hobbes, Locke und Rousseau) wurden diese Behauptungen untersucht, und es wurde vorgeschlagen, dass solche Mängel größtenteils das Produkt der Anwendung des orthodoxen Syllogismus sind und stark reduziert werden, wenn der Syllogismus des unterstellten Vertrages wird ersetzt. Zweitens wird der Gesellschaftsvertrag im Allgemeinen angegriffen und aufgrund von logischen Fehlern in der Methode als solcher abgelehnt. Einige dieser angeblichen Fehler wurden berücksichtigt, und es wurde angedeutet, dass sie sich ebenfalls gegen die orthodoxe Interpretation richten und einfach an der Logik des unterstellten Vertrags vorbeigleiten, ohne sich darauf einzulassen. Daraus folgt, dass keine der Standardkritiken des Kontraktarismus einen Grund dafür angibt, warum der unterstellte Vertrag keinen nützlichen Ansatz für das gegenwärtige Problem der politischen Verpflichtung vorschlagen sollte, und die Diskussion wird sich nun einer Erwägung dieser Möglichkeit zuwenden.</w:t>
      </w:r>
    </w:p>
    <w:p>
      <w:pPr>
        <w:pStyle w:val="Flietext1"/>
        <w:keepNext w:val="false"/>
        <w:keepLines w:val="false"/>
        <w:widowControl w:val="false"/>
        <w:shd w:val="clear" w:color="auto" w:fill="auto"/>
        <w:bidi w:val="0"/>
        <w:spacing w:before="0" w:after="120"/>
        <w:ind w:left="0" w:right="0" w:hanging="0"/>
        <w:jc w:val="center"/>
        <w:rPr/>
      </w:pPr>
      <w:r>
        <w:rPr>
          <w:color w:val="000000"/>
          <w:spacing w:val="0"/>
          <w:w w:val="100"/>
          <w:shd w:fill="auto" w:val="clear"/>
          <w:lang w:val="en-US" w:eastAsia="en-US" w:bidi="en-US"/>
        </w:rPr>
        <w:t>-I-</w:t>
      </w:r>
    </w:p>
    <w:p>
      <w:pPr>
        <w:pStyle w:val="Flietext1"/>
        <w:keepNext w:val="false"/>
        <w:keepLines w:val="false"/>
        <w:widowControl w:val="false"/>
        <w:shd w:val="clear" w:color="auto" w:fill="auto"/>
        <w:bidi w:val="0"/>
        <w:spacing w:lineRule="auto" w:line="259" w:before="0" w:after="0"/>
        <w:ind w:left="0" w:right="0" w:firstLine="300"/>
        <w:jc w:val="both"/>
        <w:rPr/>
      </w:pPr>
      <w:r>
        <w:rPr>
          <w:color w:val="000000"/>
          <w:spacing w:val="0"/>
          <w:w w:val="100"/>
          <w:shd w:fill="auto" w:val="clear"/>
          <w:lang w:val="en-US" w:eastAsia="en-US" w:bidi="en-US"/>
        </w:rPr>
        <w:t>Soweit der unterstellte Vertrag ein gewisses Maß an fortwährender Gültigkeit und Anwendbarkeit hat, muss seine Nützlichkeit aus den zentralen Elementen abgeleitet werden, die den Ideen dieser beiden würdigsten Exemplare des Modells, Hobbes und Rousseau, entnommen wurden. Die Grundbegriffe dieser Argumentation wurden bereits unter den Rubriken „minimaler Hobbes“ und „erste Annäherung“ an Rousseau vorgestellt. Es bleibt nur, die Punkte genauer herauszuarbeiten.</w:t>
      </w:r>
    </w:p>
    <w:p>
      <w:pPr>
        <w:pStyle w:val="Flietext1"/>
        <w:keepNext w:val="false"/>
        <w:keepLines w:val="false"/>
        <w:widowControl w:val="false"/>
        <w:shd w:val="clear" w:color="auto" w:fill="auto"/>
        <w:bidi w:val="0"/>
        <w:spacing w:lineRule="auto" w:line="259" w:before="0" w:after="0"/>
        <w:ind w:left="0" w:right="0" w:firstLine="300"/>
        <w:jc w:val="both"/>
        <w:rPr/>
      </w:pPr>
      <w:r>
        <w:rPr>
          <w:color w:val="000000"/>
          <w:spacing w:val="0"/>
          <w:w w:val="100"/>
          <w:shd w:fill="auto" w:val="clear"/>
          <w:lang w:val="en-US" w:eastAsia="en-US" w:bidi="en-US"/>
        </w:rPr>
        <w:t>Der grundlegende Punkt von Hobbes ist, dass die soziale Ordnung für den Menschen so wertvoll ist, dass kein Mensch sie rational leugnen kann. Grotius präsentierte ein Naturgesetz, das die notwendigen Bedingungen für die soziale Ordnung festlegte, und postulierte dann einen natürlichen Instinkt der Geselligkeit, um die Menschen dazu zu bringen, dieses Naturgesetz zu akzeptieren. Das Naturgesetz von Hobbes beschreibt die Voraussetzungen sozialer Ordnung ganz ähnlich, begründet sie aber fester. Es ist keine Rede von einem sozialen Instinkt, sondern von Vernunft, die sowohl die Bedingungen der sozialen Ordnung als auch die Grundlage für die individuelle Teilnahme daran aus dem grundlegenden Ausgangspunkt des Wunsches nach Selbsterhaltung hervorbringt. Gesellschaft ist nur möglich, wenn Menschen eine gewisse Erwartungssicherheit gegenüber anderen Menschen haben, wenn man nicht sofort mit einem Angriff rechnen muss, wenn man ihm den Rücken zukehrt. Natürlich gibt es immer wieder Individuen, die in solch subjektiver Unsicherheit leben und paranoid genannt werden, aber nur ein Verhaltensmuster, das so stabil ist, dass wir es für selbstverständlich halten können, ermöglicht es uns, sie als Abweichler zu bezeichnen, anstatt ihre Logik zuzugeben Angst. Da Hobbes während einer längeren Zeit sozialer Unruhen und Umwälzungen schrieb, konnte er besser erkennen, wie viel wir für selbstverständlich halten und wie viel auf dem Spiel steht, wenn die soziale Ordnung bedroht ist. Die Verwendung des Begriffs „natürlich“ bei der Beschreibung des alptraumhaften vorsozialen Zustands der Menschheit soll nicht eine Unausweichlichkeit des Rückschritts implizieren, sondern vielmehr die künstliche und von Menschen gemachte Grundlage unserer Sicherheit hervorheben. Der Mensch wünscht Sicherheit (definiert im Sinne von Selbsterhaltung); Sicherheit kann nicht durch individuelle Macht (die immer unzureichend ist), sondern nur durch eine nicht „natürliche“, sondern nur innerhalb der Gesellschaft mögliche Gesamtordnung wirksam und zuverlässig geschützt werden.</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Dies ist das Argument für minimale Ordnung. Um die Sicherheit zu bieten, die alle Menschen rational zu suchen gezwungen sind, muss die Zwangsstruktur versuchen, die Menschen voreinander zu schützen. Es muss wirksame und durchsetzbare (und durchgesetzte) Gesetze geben, die Mord und Körperverletzung verbieten, denn soziale Ordnung ist nur möglich und wünschenswert, wenn eine solche Grundsicherheit gewährleistet ist.641 Mit gleicher Strenge folgt der zweite Punkt der Hobbesschen Triade: insofern er angeklagt ist Neben der unverzichtbaren Funktion, die der Sicherheit zugrunde liegt, auf der allein die soziale Ordnung bestehen kann, muss die politische Instanz auch so wirken, dass sie ihre eigene Zerstörung verhindert, da diese die Menschen auf diesen unerwünschten Ausgangspunkt, den natürlichen Zustand der Menschheit, zurückwerfen würde. Gesetze gegen Mord und Körperverletzung und Gesetze gegen Verrat sind die logischen Mindestvoraussetzungen einer stabilen Ordnung.</w:t>
      </w:r>
    </w:p>
    <w:p>
      <w:pPr>
        <w:pStyle w:val="Flietext1"/>
        <w:keepNext w:val="false"/>
        <w:keepLines w:val="false"/>
        <w:widowControl w:val="false"/>
        <w:shd w:val="clear" w:color="auto" w:fill="auto"/>
        <w:bidi w:val="0"/>
        <w:spacing w:before="0" w:after="260"/>
        <w:ind w:left="0" w:right="0" w:hanging="0"/>
        <w:jc w:val="both"/>
        <w:rPr/>
      </w:pPr>
      <w:r>
        <w:rPr>
          <w:color w:val="000000"/>
          <w:spacing w:val="0"/>
          <w:w w:val="100"/>
          <w:shd w:fill="auto" w:val="clear"/>
          <w:lang w:val="en-US" w:eastAsia="en-US" w:bidi="en-US"/>
        </w:rPr>
        <w:t>Natürlich ging Hobbes noch weiter und erweiterte seinen Geltungsbereich auf Eigentum und alle Verträge, ein Schritt, der einige zu dem Vorwurf veranlasst, dass seine Argumentation nicht mehr nur allgemein ist, sondern stattdessen verwendet wird, um eine bestimmte Gesellschaftsform zu rechtfertigen, die des bürgerlichen Kapitalismus ( obwohl dies im Rückblick vielleicht eher zutrifft als in der Zukunft und seine Verteidigung der absoluten Monarchie übersieht). Diese Erweiterung scheint nicht mit der gleichen Strenge wie die ersten beiden zu gelten. Es kann behauptet werden, dass jede Gesellschaft einige feste Regeln darüber haben muss, was Eigentum ist (und was nicht) und unter welchen Umständen Versprechen binden (oder nicht), und dies könnte auf der gleichen Abstraktions- und Allgemeinheitsebene zutreffen wie die Punkte zu Mord, Körperverletzung und Verrat; Da Versprechen und Eigentum jedoch eine Vielzahl möglicher Spezifikationen haben, ist diese oberflächliche Ähnlichkeit irreführend. Außerdem räumt Hobbes selbst ein, dass das Eigentumsrecht, obwohl es geschützt werden muss, nicht so stark und nicht so vorrangig ist wie das Recht auf Selbsterhaltung; Obwohl die Drohung des Souveräns gegen mein Leben den Vertrag ungültig macht, ist es eine Meinung, die das Commonwealth zerstört, dass der Einzelne ein Recht auf Eigentum hat, das vom Souverän nicht außer Kraft gesetzt werden kann. Vielleicht ist der Punkt, den Hobbes macht, ein wenig anders; Das heißt, vielleicht ist in der Vorstellung, dass niemandes Macht ausreicht, um das Überleben zu sichern, die Vorstellung enthalten, dass Menschen zusammenarbeiten wollen, um ihren Zustand zu verbessern, aber dieser Wunsch wird durch die düstere Logik des natürlichen Zustands der Menschheit vereitelt. Weder Gesetz noch Gesellschaft erzeugen einen neuen Kooperationsdrang, sondern beseitigen lediglich die im Naturzustand bestehenden und wirksamen Kooperationshindernisse. Wie dem auch sei, es deutet immer noch darauf hin, dass die Grundlagen für Vertrags- und Eigentumsgesetze etwas weniger streng und sicher sind.</w:t>
      </w:r>
    </w:p>
    <w:p>
      <w:pPr>
        <w:pStyle w:val="Flietext21"/>
        <w:keepNext w:val="false"/>
        <w:keepLines w:val="false"/>
        <w:widowControl w:val="false"/>
        <w:numPr>
          <w:ilvl w:val="0"/>
          <w:numId w:val="58"/>
        </w:numPr>
        <w:shd w:val="clear" w:color="auto" w:fill="auto"/>
        <w:tabs>
          <w:tab w:val="clear" w:pos="720"/>
          <w:tab w:val="left" w:pos="625" w:leader="none"/>
        </w:tabs>
        <w:bidi w:val="0"/>
        <w:spacing w:lineRule="auto" w:line="240" w:before="0" w:after="200"/>
        <w:ind w:left="0" w:right="0" w:firstLine="300"/>
        <w:jc w:val="both"/>
        <w:rPr/>
      </w:pPr>
      <w:r>
        <w:rPr>
          <w:color w:val="000000"/>
          <w:spacing w:val="0"/>
          <w:w w:val="100"/>
          <w:shd w:fill="auto" w:val="clear"/>
          <w:lang w:val="en-US" w:eastAsia="en-US" w:bidi="en-US"/>
        </w:rPr>
        <w:t>Der Punkt gegen Mord unterliegt keinen terminologischen Spitzfindigkeiten, obwohl der Begriff des Mordes selbst sehr kulturspezifisch ist und in verschiedenen Gesellschaften unterschiedlichen Definitionen und Interpretationen unterliegt. Es könnte nützlicher sein, Begriffe wie „zufälliges Töten“ zu erfinden, um mögliche Missverständnisse zu vermeiden, außer dass die Disziplin bereits reich an Neologismen ist und es ein Bärendienst ist, sie unnötig zu multiplizieren. Stattdessen wird lediglich festgehalten, dass „Mord“, wie er in diesem Abschnitt verwendet wird, im allgemeinen und nicht-technischen Sinne zu verstehen ist. Wenn A plötzlich eine Waffe zückt und B erschießt, kann ich zu Recht davon ausgehen, dass A sich einer Form sozialer Missbilligung und Bestrafung ausgesetzt hat, es sei denn, es liegen besondere Umstände vor, die sich nicht auf den ersten Blick ergeben haben. Eine solche Bestrafung kann in einem bestimmten Fall effektiv angewendet werden oder nicht, aber dies ist ein weiteres Problem und muss uns nicht aufhalten. Wenn meine diesbezüglichen Erwartungen regelmäßig enttäuscht werden, darf ich mich zu Recht fragen, inwieweit von einer gesellschaftlichen Ordnung gesprochen werden kann, und meine Vorbehalte werden größer, wenn ich feststelle, dass ein solches Verhalten durchaus üblich ist. Der Begriff „Mord“ in diesem Abschnitt soll sich auf diese Art von Phänomen beziehen.</w:t>
      </w:r>
    </w:p>
    <w:p>
      <w:pPr>
        <w:pStyle w:val="Flietext1"/>
        <w:keepNext w:val="false"/>
        <w:keepLines w:val="false"/>
        <w:widowControl w:val="false"/>
        <w:shd w:val="clear" w:color="auto" w:fill="auto"/>
        <w:bidi w:val="0"/>
        <w:spacing w:before="0" w:after="260"/>
        <w:ind w:left="0" w:right="0" w:firstLine="240"/>
        <w:jc w:val="both"/>
        <w:rPr/>
      </w:pPr>
      <w:r>
        <w:rPr>
          <w:color w:val="000000"/>
          <w:spacing w:val="0"/>
          <w:w w:val="100"/>
          <w:shd w:fill="auto" w:val="clear"/>
          <w:lang w:val="en-US" w:eastAsia="en-US" w:bidi="en-US"/>
        </w:rPr>
        <w:t>Wir können die folgenden Elemente von der Minimalordnung von Hobbes abstrahieren:</w:t>
      </w:r>
    </w:p>
    <w:p>
      <w:pPr>
        <w:pStyle w:val="Flietext1"/>
        <w:keepNext w:val="false"/>
        <w:keepLines w:val="false"/>
        <w:widowControl w:val="false"/>
        <w:numPr>
          <w:ilvl w:val="0"/>
          <w:numId w:val="59"/>
        </w:numPr>
        <w:shd w:val="clear" w:color="auto" w:fill="auto"/>
        <w:tabs>
          <w:tab w:val="clear" w:pos="720"/>
          <w:tab w:val="left" w:pos="561" w:leader="none"/>
        </w:tabs>
        <w:bidi w:val="0"/>
        <w:spacing w:before="0" w:after="120"/>
        <w:ind w:left="0" w:right="0" w:firstLine="240"/>
        <w:jc w:val="both"/>
        <w:rPr/>
      </w:pPr>
      <w:r>
        <w:rPr>
          <w:color w:val="000000"/>
          <w:spacing w:val="0"/>
          <w:w w:val="100"/>
          <w:shd w:fill="auto" w:val="clear"/>
          <w:lang w:val="en-US" w:eastAsia="en-US" w:bidi="en-US"/>
        </w:rPr>
        <w:t>A. Sanktionen gegen Mord und Körperverletzung</w:t>
      </w:r>
    </w:p>
    <w:p>
      <w:pPr>
        <w:pStyle w:val="Flietext1"/>
        <w:keepNext w:val="false"/>
        <w:keepLines w:val="false"/>
        <w:widowControl w:val="false"/>
        <w:numPr>
          <w:ilvl w:val="0"/>
          <w:numId w:val="59"/>
        </w:numPr>
        <w:shd w:val="clear" w:color="auto" w:fill="auto"/>
        <w:tabs>
          <w:tab w:val="clear" w:pos="720"/>
          <w:tab w:val="left" w:pos="561" w:leader="none"/>
        </w:tabs>
        <w:bidi w:val="0"/>
        <w:spacing w:before="0" w:after="120"/>
        <w:ind w:left="0" w:right="0" w:firstLine="240"/>
        <w:jc w:val="both"/>
        <w:rPr/>
      </w:pPr>
      <w:r>
        <w:rPr>
          <w:color w:val="000000"/>
          <w:spacing w:val="0"/>
          <w:w w:val="100"/>
          <w:shd w:fill="auto" w:val="clear"/>
          <w:lang w:val="en-US" w:eastAsia="en-US" w:bidi="en-US"/>
        </w:rPr>
        <w:t>B. abgeleitet, Sanktionen gegen Landesverrat</w:t>
      </w:r>
    </w:p>
    <w:p>
      <w:pPr>
        <w:pStyle w:val="Flietext1"/>
        <w:keepNext w:val="false"/>
        <w:keepLines w:val="false"/>
        <w:widowControl w:val="false"/>
        <w:numPr>
          <w:ilvl w:val="0"/>
          <w:numId w:val="59"/>
        </w:numPr>
        <w:shd w:val="clear" w:color="auto" w:fill="auto"/>
        <w:tabs>
          <w:tab w:val="clear" w:pos="720"/>
          <w:tab w:val="left" w:pos="561" w:leader="none"/>
        </w:tabs>
        <w:bidi w:val="0"/>
        <w:spacing w:before="0" w:after="240"/>
        <w:ind w:left="620" w:right="0" w:hanging="320"/>
        <w:jc w:val="both"/>
        <w:rPr/>
      </w:pPr>
      <w:r>
        <w:rPr>
          <w:color w:val="000000"/>
          <w:spacing w:val="0"/>
          <w:w w:val="100"/>
          <w:shd w:fill="auto" w:val="clear"/>
          <w:lang w:val="en-US" w:eastAsia="en-US" w:bidi="en-US"/>
        </w:rPr>
        <w:t>C. Festlegungen verbindlicher und gemeinsamer Eigentums- und Vertragskonzepte</w:t>
      </w:r>
    </w:p>
    <w:p>
      <w:pPr>
        <w:pStyle w:val="Flietext1"/>
        <w:keepNext w:val="false"/>
        <w:keepLines w:val="false"/>
        <w:widowControl w:val="false"/>
        <w:shd w:val="clear" w:color="auto" w:fill="auto"/>
        <w:bidi w:val="0"/>
        <w:spacing w:before="0" w:after="0"/>
        <w:ind w:left="0" w:right="0" w:hanging="0"/>
        <w:jc w:val="both"/>
        <w:rPr/>
      </w:pPr>
      <w:r>
        <w:rPr>
          <w:color w:val="000000"/>
          <w:spacing w:val="0"/>
          <w:w w:val="100"/>
          <w:shd w:fill="auto" w:val="clear"/>
          <w:lang w:val="en-US" w:eastAsia="en-US" w:bidi="en-US"/>
        </w:rPr>
        <w:t>Die Kleinbuchstabenbezeichnung der dritten Komponente zeigt ihre niedrigere Priorität an. Es sollte beachtet werden, dass die offene Natur von (c) lediglich die Zustimmung zu einer solchen Spezifizierung impliziert, aber Gleichgültigkeit gegenüber den spezifischen Details dieser Spezifizierung, ebenso wie die Hobbes'sche Reduktion des Politikproblems auf die Behauptung, dass es eine Regel geben sollte, impliziert Gleichgültigkeit, wer eigentlich der Herrscher ist.</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An einer solchen Liste ist an sich nichts Originelles oder Wunderbares; es ist heute nicht mehr originell und war es auch nicht zu Hobbes Zeiten, da es kaum mehr als eine Paraphrase der vier Prinzipien von Grotius ist. Der Beitrag von Hobbes bestand darin, dass er das Argument fester und eindeutiger allein auf die Vernunft stützte. Für Grotius (wie für zeitgenössische Ethologen wie Lionel Tiger und seinesgleichen) genügt es zu behaupten, dass Männer die Gesellschaft anderer Männer mögen; Hobbes ging weiter und argumentierte, warum Männer unabhängig von ihren Gefühlen rational die Zusammenarbeit innerhalb der Zivilgesellschaft wählen sollten. Es gibt zwei weitere wichtige Punkte in seiner Entwicklung des Themas, und da beide mit erstaunlicher Regelmäßigkeit übersehen zu werden scheinen, lohnt es sich, sie hervorzuheben.</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vertAlign w:val="superscript"/>
          <w:lang w:val="en-US" w:eastAsia="en-US" w:bidi="en-US"/>
        </w:rPr>
        <w:t>Erstens begründete Hobbes alles mit rationalem Eigeninteresse. Seine psychologische Beschreibung der Eigenschaften des natürlichen Menschen wird exzessiv zitiert, denn solche Menschen sind konkurrenzfähig, habgierig, eitel, schüchtern und fürchten sich vor dem Tod. Selten wird herausgestellt, dass nur eine davon zum Naturgesetz erhoben wird, nämlich die Todesangst. Dies verändert die Bedeutung des rationalen Eigeninteresses für Hobbes radikal; die Vernunft bleibt ein „Kundschafter der Leidenschaften“, aber dies bedeutet nicht, dass sie somit Dienerin eines sich ständig ändernden Musters von Begierden und Wünschen ist, das jegliche Stabilität oder Beständigkeit oder jede notwendige Konvergenz zwischen den von der Vernunft der Zwei gelenkten Kursen ausschließt verschiedene Männer. Ganz im Gegenteil. Die stärkste Leidenschaft, das primäre Motiv zum Handeln, ist die Angst vor dem Tod, und dies ist das solide und universelle Fundament, auf dem die Vernunft operiert; weil diese eine grundlegende Leidenschaft allen Menschen gemeinsam ist und weil die Vernunft dieser Leidenschaft dient, kann die Vernunft als ein Band fungieren, das die Zusammenarbeit zwischen Menschen fördert. Konkurrenzdenken, Habgier, Prahlerei und Misstrauen der Menschen sind Teil des Problems in dem Sinne, dass sie den Menschen von seinem wirklich rationalen Streben nach Selbsterhaltung ablenken, das optimal durch das zweite Naturgesetz, den Gesellschaftsvertrag, erreicht wird. Das weitere Problem – dass die Vernunft das Problem richtig auf die Vermeidung des Todes reduzieren muss, bevor sie genaue Vorschriften erlässt – wird übersehen, es sei denn, wir sollten Hobbes' Schriften als mahnende Bemühungen zu einem solchen Zweck klassifizieren; seine Reaktion auf das Versagen seiner Zeitgenossen, eine solche Reduktion zu vollbringen, scheint irritiert gewesen zu sein642</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Die Konsequenz dieser Argumentationslinie ist, dass Hobbes auf der Grundlage eigennütziger Männer, die nichts gemeinsam haben als ihre Todesangst und ihre Vernunft, eine beachtliche politische Argumentation aufbauen kann. Es ist ein Hinweis auf das Genie von Hobbes, dass dies alles ist, was er braucht, und ein Spiegelbild der Zeit, in der er lebte, dass es notwendig war, seine logischen Annahmen auf ein solches Minimum zu reduzieren. Rationelles Eigeninteresse führt zu stabiler Zusammenarbeit; nichts anderes als rationales Eigeninteresse ist erforderlich, um einen Menschen an die Ordnung zu binden, die diese Zusammenarbeit ermöglicht, da die Voraussetzungen der Ordnung eindeutig zwingend sind, wenn nur der Mensch rational ist. Der Rückhalt für eigennütziges Kalkül ist die dominierende Leidenschaft, die Todesangst. Aus diesem Grund ist es ein Bärendienst für Hobbes und eine Fehlinterpretation seiner Logik, die Wettbewerbsaspekte seines Modells des natürlichen Menschen zu betonen; Das Wichtigste am natürlichen Menschen ist nicht, dass er gierig ist, sondern dass er Angst hat. Wenn seine dominante Eigenschaft Gier wäre, dann könnte er rational (der Grund ist nur ein Späher der dominanten Leidenschaft) Risiken eingehen, die die Ordnung gefährden, um privaten Gewinn zu erzielen; Da seine dominierende Eigenschaft Todesangst ist, ist es irrational, solche Risiken einzugehen. Hobbes Mann ist niemals ein Spieler.</w:t>
      </w:r>
    </w:p>
    <w:p>
      <w:pPr>
        <w:pStyle w:val="Flietext1"/>
        <w:keepNext w:val="false"/>
        <w:keepLines w:val="false"/>
        <w:widowControl w:val="false"/>
        <w:shd w:val="clear" w:color="auto" w:fill="auto"/>
        <w:bidi w:val="0"/>
        <w:spacing w:before="0" w:after="260"/>
        <w:ind w:left="0" w:right="0" w:firstLine="320"/>
        <w:jc w:val="both"/>
        <w:rPr/>
      </w:pPr>
      <w:r>
        <w:rPr>
          <w:color w:val="000000"/>
          <w:spacing w:val="0"/>
          <w:w w:val="100"/>
          <w:shd w:fill="auto" w:val="clear"/>
          <w:lang w:val="en-US" w:eastAsia="en-US" w:bidi="en-US"/>
        </w:rPr>
        <w:t>Zweitens ist das Mittel, das Hobbes verwendet, ein Vertrag, der die Aufmerksamkeit des rational Handelnden von der spezifischen Handlung auf die allgemeine Regel lenkt. Dies ist eine sehr wichtige Funktion, die jedoch oft übersehen wird. Zum Beispiel startet Flathman einen scharfen Angriff auf ein angeblich von Hobbes stammendes Argument, das rationale Egoisten darstellt, die berechnen, ob sie das Gesetz befolgen sollten oder nicht, auf der Grundlage ihres eigenen Nettogewinns aus der Befolgung oder Nichtbefolgung dieses bestimmten Gesetzes in dieser bestimmten Situation.643 Offensichtlich , die Antwort, zu der sie auf eine solche Frage gelangen, hängt von der konkreten Situation ab (z. B. von ihren Chancen, einer Befürchtung zu entgehen), und es ist unmöglich, dass eine solche Argumentation – rein allgemein gesprochen – zu einem eindeutigen Gehorsamsrat führt. Aus solchen Gründen kann Flathman die Darstellung von Hobbes als unzureichend zurückweisen;644 tatsächlich ist es nur Flathmans Behandlung von Hobbes, die unzureichend ist. Der Hobbes'sche rationale Mensch berechnet nicht den Reingewinn jeder einzelnen Handlung, sondern leitet eine allgemeine Vorgehensweise ab, die jene Grundleidenschaft, die Todesangst, optimal befriedigt, bei deren Verfolgung es irrational ist, irgendwelche Risiken einzugehen. (In diesem Zusammenhang spielt es keine Rolle, ob der Tod um seiner selbst willen gefürchtet wird oder ob er gefürchtet wird, weil er die Befriedigung anderer Begierden oder Wünsche ausschließt.) Wichtig ist nicht, dass ich durch das Töten dieses Mannes sein Geld verdiene , sondern dass ein solcher Akt die logisch notwendige Bedingung verletzen würde, die erst die Zivilgesellschaft ermöglicht, nämlich den Vertrag. Indem ich ein solches Prinzip ignoriere, verzichte ich auf den Befehl; Selbst wenn ich kurzfristig gewinne, besteht der Zweck der Hobbes'schen Logik darin, die Mängel einer solchen Berechnung aufzuzeigen. Die Bestrafung ist zweitrangig, weniger wichtig, weil sie meine Leistung erzwingt, als weil sie diejenigen abschreckt, die nicht so gut rechnen können und meinem Verlust nicht gehorchen könnten; es geht nie nur darum, dass ich gehorche, um nicht bestraft zu werden, sondern um die Voraussetzungen der Ordnung, die meine Vernunft wahrnimmt und zu deren Annahme mich meine Todesangst zwingt. Der Punkt wird vielleicht durch die Tatsache verschleiert, dass für Hobbes eine dieser Voraussetzungen eine Instanz mit der Macht zur Bestrafung ist.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21"/>
        <w:keepNext w:val="false"/>
        <w:keepLines w:val="false"/>
        <w:widowControl w:val="false"/>
        <w:numPr>
          <w:ilvl w:val="0"/>
          <w:numId w:val="58"/>
        </w:numPr>
        <w:shd w:val="clear" w:color="auto" w:fill="auto"/>
        <w:tabs>
          <w:tab w:val="clear" w:pos="720"/>
          <w:tab w:val="left" w:pos="639" w:leader="none"/>
          <w:tab w:val="left" w:pos="8174" w:leader="dot"/>
        </w:tabs>
        <w:bidi w:val="0"/>
        <w:spacing w:lineRule="auto" w:line="240" w:before="0" w:after="0"/>
        <w:ind w:left="0" w:right="0" w:firstLine="240"/>
        <w:jc w:val="both"/>
        <w:rPr/>
      </w:pPr>
      <w:r>
        <w:rPr>
          <w:color w:val="000000"/>
          <w:spacing w:val="0"/>
          <w:w w:val="100"/>
          <w:shd w:fill="auto" w:val="clear"/>
          <w:lang w:val="en-US" w:eastAsia="en-US" w:bidi="en-US"/>
        </w:rPr>
        <w:t>und ich weiß nicht, wie diese so offenkundige Wahrheit in letzter Zeit so wenig beachtet werden sollte“; Hobbes,</w:t>
      </w:r>
    </w:p>
    <w:p>
      <w:pPr>
        <w:pStyle w:val="Flietext21"/>
        <w:keepNext w:val="false"/>
        <w:keepLines w:val="false"/>
        <w:widowControl w:val="false"/>
        <w:shd w:val="clear" w:color="auto" w:fill="auto"/>
        <w:bidi w:val="0"/>
        <w:spacing w:lineRule="auto" w:line="240" w:before="0" w:after="200"/>
        <w:ind w:left="0" w:right="0" w:hanging="0"/>
        <w:jc w:val="left"/>
        <w:rPr/>
      </w:pPr>
      <w:r>
        <w:rPr>
          <w:color w:val="000000"/>
          <w:spacing w:val="0"/>
          <w:w w:val="100"/>
          <w:shd w:fill="auto" w:val="clear"/>
          <w:lang w:val="en-US" w:eastAsia="en-US" w:bidi="en-US"/>
        </w:rPr>
        <w:t>Leviathan, Teil II Kap. 19, p. 421.</w:t>
      </w:r>
    </w:p>
    <w:p>
      <w:pPr>
        <w:pStyle w:val="Flietext1"/>
        <w:keepNext w:val="false"/>
        <w:keepLines w:val="false"/>
        <w:widowControl w:val="false"/>
        <w:shd w:val="clear" w:color="auto" w:fill="auto"/>
        <w:bidi w:val="0"/>
        <w:spacing w:before="0" w:after="0"/>
        <w:ind w:left="0" w:right="0" w:firstLine="300"/>
        <w:jc w:val="both"/>
        <w:rPr/>
      </w:pPr>
      <w:r>
        <w:rPr>
          <w:color w:val="000000"/>
          <w:spacing w:val="0"/>
          <w:w w:val="100"/>
          <w:shd w:fill="auto" w:val="clear"/>
          <w:lang w:val="en-US" w:eastAsia="en-US" w:bidi="en-US"/>
        </w:rPr>
        <w:t>Dies ist also die Natur von Hobbes' Beitrag zum unterstellten Vertrag. Erstens die dreifachen Kriterien für minimale Ordnung. Zweitens der logische Ausgangspunkt von Männern, die nur ihre Vernunft und ihre Todesangst teilen. Drittens, das Vertragsgerät, um dem Problem der taktischen Straflosigkeit entgegenzuwirken.</w:t>
      </w:r>
    </w:p>
    <w:p>
      <w:pPr>
        <w:pStyle w:val="Flietext1"/>
        <w:keepNext w:val="false"/>
        <w:keepLines w:val="false"/>
        <w:widowControl w:val="false"/>
        <w:shd w:val="clear" w:color="auto" w:fill="auto"/>
        <w:bidi w:val="0"/>
        <w:spacing w:before="0" w:after="240"/>
        <w:ind w:left="0" w:right="0" w:firstLine="300"/>
        <w:jc w:val="both"/>
        <w:rPr/>
      </w:pPr>
      <w:r>
        <w:rPr>
          <w:color w:val="000000"/>
          <w:spacing w:val="0"/>
          <w:w w:val="100"/>
          <w:shd w:fill="auto" w:val="clear"/>
          <w:lang w:val="en-US" w:eastAsia="en-US" w:bidi="en-US"/>
        </w:rPr>
        <w:t>Der häufigste Kritikpunkt gegen Hobbes ist, dass er die Ziele der menschlichen Zusammenarbeit pessimistisch unterschätzt, indem er sie auf das einfache Überleben reduziert.645 Solche Kritik deutet sowohl auf ein Missverständnis als auch auf eine falsche Darstellung dessen hin, was Hobbes zu sagen versuchte. Sie weisen auf ein Missverständnis hin, weil sie den Kontext ignorieren, in dem sich Hobbes befand. Der Kontrast zwischen dem weitreichenden gesellschaftlichen Konsens des Mittelalters und den religiösen Auseinandersetzungen und Kontroversen des 17. Jahrhunderts ist offensichtlich. Zu suggerieren, das Funktionieren der Gesellschaftsordnung sei durch diesen Streit bedroht, ist eine Bemerkung, die so selbstverständlich ist, dass sie ans Banale grenzt. Als die umfassenderen Ziele der menschlichen Zusammenarbeit auch solche einschlossen, die durch religiöse Heterodoxie umstritten waren, war die Folge, dass die Möglichkeit einer stabilen Zusammenarbeit in jeder Gruppe, die mehr als eine religiöse Überzeugung umfasste, untergraben wurde. Umgekehrt, wenn sowohl Katholiken als auch Protestanten aufhören würden, auf eine Zusammenarbeit für solch umfassendere Ziele zu drängen, und anfangen würden, nur für die Sicherheit des Einzelnen zusammenzuarbeiten, dann wäre das grundlegende Überlebensziel, das durch die Aufstellung umstrittener Ziele auf höherer Ebene bedroht war, wieder erreichbar. In einer solchen Situation war die Reduzierung der Ziele der menschlichen Zusammenarbeit so etwas wie eine Lösung für sich. Aber solche Kritiken sind auch eine Fehlaussage von Hobbes, denn es ist nicht selbstverständlich, dass man der Hinzufügung weiterer Ziele menschlicher Zusammenarbeit innerhalb der Gesellschaft, sofern sie nur als zweitrangig erinnert werden, eher als Ergänzung denn als Ersatz der Bestimmung widersprechen kann der individuellen Sicherheit, die das Fundament der Gesellschaft ist. Nur wenn die Förderung solcher weitergehenden Ziele und Streitigkeiten über deren Natur so weit geführt werden, dass sie die Grundordnung gefährden, würde ein Hobbist Grund zum Einspruch finden. Die berühmte Passage, in der Hobbes die Vorteile der Alternative zum natürlichen Zustand der Menschheit in Bezug auf die Vorteile von Handel und Gewerbe darlegt, macht deutlich, dass er mehr im Sinn hatte als das bloße Überleben, und dass die Nebenleistungen des Vertrags sind beachtlich und bedeutend.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21"/>
        <w:keepNext w:val="false"/>
        <w:keepLines w:val="false"/>
        <w:widowControl w:val="false"/>
        <w:numPr>
          <w:ilvl w:val="0"/>
          <w:numId w:val="58"/>
        </w:numPr>
        <w:shd w:val="clear" w:color="auto" w:fill="auto"/>
        <w:tabs>
          <w:tab w:val="clear" w:pos="720"/>
          <w:tab w:val="left" w:pos="645" w:leader="none"/>
        </w:tabs>
        <w:bidi w:val="0"/>
        <w:spacing w:lineRule="auto" w:line="240" w:before="0" w:after="0"/>
        <w:ind w:left="0" w:right="0" w:firstLine="260"/>
        <w:jc w:val="left"/>
        <w:rPr/>
      </w:pPr>
      <w:r>
        <w:rPr>
          <w:color w:val="000000"/>
          <w:spacing w:val="0"/>
          <w:w w:val="100"/>
          <w:shd w:fill="auto" w:val="clear"/>
          <w:lang w:val="en-US" w:eastAsia="en-US" w:bidi="en-US"/>
        </w:rPr>
        <w:t>Flathman, Politische Verpflichtung, S. 238</w:t>
      </w:r>
    </w:p>
    <w:p>
      <w:pPr>
        <w:pStyle w:val="Flietext21"/>
        <w:keepNext w:val="false"/>
        <w:keepLines w:val="false"/>
        <w:widowControl w:val="false"/>
        <w:numPr>
          <w:ilvl w:val="0"/>
          <w:numId w:val="58"/>
        </w:numPr>
        <w:shd w:val="clear" w:color="auto" w:fill="auto"/>
        <w:tabs>
          <w:tab w:val="clear" w:pos="720"/>
          <w:tab w:val="left" w:pos="650" w:leader="none"/>
        </w:tabs>
        <w:bidi w:val="0"/>
        <w:spacing w:lineRule="auto" w:line="208" w:before="0" w:after="0"/>
        <w:ind w:left="0" w:right="0" w:firstLine="260"/>
        <w:jc w:val="left"/>
        <w:rPr/>
      </w:pPr>
      <w:r>
        <w:rPr>
          <w:color w:val="000000"/>
          <w:spacing w:val="0"/>
          <w:w w:val="100"/>
          <w:shd w:fill="auto" w:val="clear"/>
          <w:lang w:val="en-US" w:eastAsia="en-US" w:bidi="en-US"/>
        </w:rPr>
        <w:t>Ebenda, S. 309</w:t>
      </w:r>
    </w:p>
    <w:p>
      <w:pPr>
        <w:pStyle w:val="Flietext21"/>
        <w:keepNext w:val="false"/>
        <w:keepLines w:val="false"/>
        <w:widowControl w:val="false"/>
        <w:numPr>
          <w:ilvl w:val="0"/>
          <w:numId w:val="58"/>
        </w:numPr>
        <w:shd w:val="clear" w:color="auto" w:fill="auto"/>
        <w:tabs>
          <w:tab w:val="clear" w:pos="720"/>
          <w:tab w:val="left" w:pos="650" w:leader="none"/>
        </w:tabs>
        <w:bidi w:val="0"/>
        <w:spacing w:lineRule="auto" w:line="240" w:before="0" w:after="200"/>
        <w:ind w:left="0" w:right="0" w:firstLine="260"/>
        <w:jc w:val="left"/>
        <w:rPr/>
      </w:pPr>
      <w:r>
        <w:rPr>
          <w:color w:val="000000"/>
          <w:spacing w:val="0"/>
          <w:w w:val="100"/>
          <w:shd w:fill="auto" w:val="clear"/>
          <w:lang w:val="en-US" w:eastAsia="en-US" w:bidi="en-US"/>
        </w:rPr>
        <w:t>vgl. Flathman, op.cit., S.311</w:t>
      </w:r>
    </w:p>
    <w:p>
      <w:pPr>
        <w:pStyle w:val="Flietext1"/>
        <w:keepNext w:val="false"/>
        <w:keepLines w:val="false"/>
        <w:widowControl w:val="false"/>
        <w:shd w:val="clear" w:color="auto" w:fill="auto"/>
        <w:bidi w:val="0"/>
        <w:spacing w:before="0" w:after="240"/>
        <w:ind w:left="0" w:right="0" w:firstLine="280"/>
        <w:jc w:val="both"/>
        <w:rPr/>
      </w:pPr>
      <w:r>
        <w:rPr>
          <w:color w:val="000000"/>
          <w:spacing w:val="0"/>
          <w:w w:val="100"/>
          <w:shd w:fill="auto" w:val="clear"/>
          <w:lang w:val="en-US" w:eastAsia="en-US" w:bidi="en-US"/>
        </w:rPr>
        <w:t>Das System von Hobbes impliziert eine strikte Trennung von Politik und Ethik; er formuliert alle seine Punkte in rein umsichtigen Begriffen und reduziert die Moral auf die „unterschiedlichen Zustimmungen und Missbilligungen der Menschen“ und leugnet, dass sie jemals viel mehr sein kann als reiner Nominalismus. Allerdings könnte das Argument, ausgehend von der Buchstaben-, aber nicht von der Grundlogik von Hobbes, für eine ganz andere Vorstellung von Mensch, Gesellschaft und Moral verwendet werden – zum Beispiel für die griechische Vorstellung von der Gesellschaft als Voraussetzung für ein Leben in Tugend. Das Argument für minimale Ordnung kann, muss aber nicht die Verfolgung weiterer Ziele (etwa der Tugend) ausschließen, vorausgesetzt, dass diese Verfolgung nicht die zugrunde liegende Grundordnung untergraben darf. Dies bringt die Diskussion zum zweiten Element des unterstellten Vertrags, das aus den Ideen von Rousseau stammt.</w:t>
      </w:r>
    </w:p>
    <w:p>
      <w:pPr>
        <w:pStyle w:val="Flietext1"/>
        <w:keepNext w:val="false"/>
        <w:keepLines w:val="false"/>
        <w:widowControl w:val="false"/>
        <w:shd w:val="clear" w:color="auto" w:fill="auto"/>
        <w:bidi w:val="0"/>
        <w:spacing w:before="0" w:after="120"/>
        <w:ind w:left="0" w:right="0" w:hanging="0"/>
        <w:jc w:val="center"/>
        <w:rPr/>
      </w:pPr>
      <w:r>
        <w:rPr>
          <w:b/>
          <w:bCs/>
          <w:color w:val="000000"/>
          <w:spacing w:val="0"/>
          <w:w w:val="100"/>
          <w:shd w:fill="auto" w:val="clear"/>
          <w:lang w:val="en-US" w:eastAsia="en-US" w:bidi="en-US"/>
        </w:rPr>
        <w:t>-II-</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Es sollte festgehalten werden, dass die Argumentation hier über eine bloße Textdarstellung hinausgeht und die spezifischen Argumente modifiziert, die von den beiden Denkern entwickelt wurden. Die Nominale von Hobbes werden bewusst heruntergespielt, und die „erste Annäherung“ an Rousseau, die zuvor als unzureichend abgelehnt wurde, wird nun verwendet, um das Thema zu erweitern. Diese Freiheiten werden genommen, weil die Absicht besteht, die detaillierten Argumente der historischen Beispiele für unterstellte Verträge zu durchdringen, um ein allgemeines unterstelltes Vertragsmodell zu extrahieren.</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Rousseau betrachtet das von Hobbes so genau analysierte Problem nicht einmal, außer um zu dem Schluss zu kommen, dass der Kriegszustand selbst das Produkt unangemessener Interaktion zwischen Menschen ist. Dabei geht es ihm nicht um die Herstellung der Ordnung als solcher, sondern um die Herstellung und Aufrechterhaltung einer legitimen Ordnung. Hobbes' Angriff auf alle anderen Gesellschafts- oder Regierungsformen besteht darin, dass sie zur Auflösung des Gemeinwesens tendieren, dass sie die Menschen zurück in den natürlichen Zustand der Menschheit zwingen; Rousseaus Anklage gegen andere Regierungsformen als die, die er empfiehlt, ist die Begründung, dass sie korrupt sind und die Menschen weder glücklich noch tugendhaft machen. Wenn Hobbes' Darlegung der rationalen Grundlagen der Ordnung Phase eins des unterstellten Vertrags ist, ist Rousseaus Hinzufügung einer moralischen Dimension Phase zwei. Erst wenn es eine soziale Ordnung gibt, kann diese Ordnung auf die Tugend ausgerichtet werden, insofern macht Hobbes den grundlegenderen Punkt. Rousseaus natürlicher Mensch ist wie der von Hobbes darin, dass er ein Überlebensbedürfnis hat, aber da dies nicht dauerhaft oder unwiderruflich durch die Operationen von Gier, Prahlerei und Misstrauen erschwert wird, richtet sich seine Aufmerksamkeit sofort auf die Möglichkeiten menschlicher Zusammenarbeit und nicht auf Bedrohungen Es. Wo Hobbes betonen muss, was Menschen vermeiden (der natürliche Zustand der Menschheit), ist Rousseau mehr darauf bedacht, wohin sie gehen (die Erfüllung des Potenzials des „natürlichen Menschen“ innerhalb der Gesellschaft); Wo der Hobbessche rationale Mensch vor der Unsicherheit flieht und der Staat dazu beitragen soll, sie zu vermeiden, strebt Rousseaus natürlicher Mensch nach Tugend, und die Institutionen des Staates müssen um dieses Streben herum organisiert werden.</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Dies wirft natürlich die Frage nach der anzustrebenden Tugend auf. Ich habe bereits angedeutet, warum ich denke, dass eine relativistische Interpretation von Rousseau nicht ganz passend ist; Die Tatsache, dass er Tugend nie definiert, abgesehen von vagen Hinweisen auf Sparta und Rom, macht jedoch eine relativistische Interpretation verlockend, und da es an diesem Punkt weniger um die spezifischen Ideen von Rousseau geht als um die Brauchbarkeit des Modells des unterstellten Vertrags, können wir das tun immer noch nebenbei von einer solchen relativistischen Deutung Gebrauch machen. Nach diesem Verständnis schafft der Vertrag eine Gemeinschaft, die sich durch diesen Vertrag von der übrigen Menschheit abgrenzt; Die Menschheit ist eine Kategorie, aber der Vertrag schafft eine Gruppe. Sofern der „natürliche Mensch“ das allen gemeinsame Wesen des Menschen ist, und sofern es der „natürliche Mensch“ und nicht einzelne Individuen sind, deren Erfüllung Ziel und Rechtfertigung der rechtmäßigen Gesellschaft ist, müsste ein gewisses Maß an Ähnlichkeit vorliegen zwischen allen legitimen Gesellschaften, aber dies muss nicht Identität bedeuten. Da der Vertrag ein „corps moral et collectif“ schafft, ist es denkbar, dass diese Entität in einzigartiger Weise auf bestimmte umweltbedingte und historische Eventualitäten reagiert, und folglich könnte es im Laufe der Zeit zu erheblichen Abweichungen zwischen den legitimen Staaten kommen, selbst in Anbetracht des Ausmaßes der Gemeinsamkeit, die diese Grundlage im „natürlichen“ Menschen impliziert. Eine allgemeine Ausrichtung auf Tugend ist eine Voraussetzung für ein legitimes Gemeinwesen, aber die genauen Bedingungen dieser Tugend könnten (wohl) von einem legitimen Gemeinwesen zum anderen und innerhalb eines einzigen legitimen Gemeinwesens von Zeit zu Zeit variieren.</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Die Behandlung findet ein merkwürdiges Echo in den Schriften einer Reihe zeitgenössischer Konservativer, die im Allgemeinen nichts Gutes über Rousseau zu sagen haben. Schriftsteller wie Eric Voegelin646 und Gerhard Neimeyer647 behandeln die Gesellschaft als auf einer bestimmten Artikulation von Ordnung gegründet. Explizit in ihrer Darstellung ist eine grundlegende Ausrichtung solcher Gesellschaften auf Tugend, die typischerweise in religiösen Begriffen ausgedrückt wird, aber die spezifischen Merkmale dieser Ausrichtung variieren von einer sozialen Ordnung zur anderen aufgrund der Unterschiede in der grundlegenden Artikulation der Ordnung, auf der jede Gesellschaft basiert , und sie machen deutlich, dass diese Unterschiede massiv, weitreichend und nicht reduzierbar sein können. Es wird nicht angedeutet, dass man die Parallele zwischen Voegelin und dem unterstellten Vertrag sehr weit treiben kann (seine Analyse scheint die Wirkung zu haben, die Erkenntnisse von Hobbes und Rousseau in einem einzigen Paket zusammenzufassen, und er neigt zu einer konservativen Beschwörung der Schwäche einer Vernunft, die sowohl Hobbes als auch Rousseau eindeutig fremd ist), noch wird impliziert, dass Voegelin den Vergleich zu schätzen wissen würde, aber das Echo ist interessant.</w:t>
      </w:r>
    </w:p>
    <w:p>
      <w:pPr>
        <w:pStyle w:val="Flietext1"/>
        <w:keepNext w:val="false"/>
        <w:keepLines w:val="false"/>
        <w:widowControl w:val="false"/>
        <w:shd w:val="clear" w:color="auto" w:fill="auto"/>
        <w:bidi w:val="0"/>
        <w:spacing w:before="0" w:after="300"/>
        <w:ind w:left="0" w:right="0" w:firstLine="320"/>
        <w:jc w:val="both"/>
        <w:rPr/>
      </w:pPr>
      <w:r>
        <w:rPr>
          <w:color w:val="000000"/>
          <w:spacing w:val="0"/>
          <w:w w:val="100"/>
          <w:shd w:fill="auto" w:val="clear"/>
          <w:lang w:val="en-US" w:eastAsia="en-US" w:bidi="en-US"/>
        </w:rPr>
        <w:t>Obwohl Rousseaus eigene Beschwörung von Sparta und Rom auf eine Bevorzugung einer statischen Gesellschaft hindeutet, beschwört diese vorgeschlagene Interpretation von ihm ein aufstrebendes und dynamisches Streben nach Tugend herauf. Es besteht eine gewisse Spannung zwischen der offensichtlichen Immobilität von Hobbes' Ordnungsargument und der Rastlosigkeit von Rousseaus Vision eines dynamischen Strebens nach Tugend, und historisch gesehen hätte Hobbes Rousseaus Ideen wahrscheinlich als Beispiel dafür gesehen, was das gesuchte Problem verursachte in Ordnung bringen. Insofern jedoch ein Hobbes'sches Argument, das als Aussage über die logischen und funktionalen Voraussetzungen einer Gesellschaftsordnung beschrieben wird, eine gewisse Offenheit hinsichtlich der mit dieser Ordnung zu verfolgenden Ziele oder Werte zulässt (wobei die Bereitstellung von Sicherheit ein kongenialer Anwendung des Modells), dann gibt es einen gewissen Spielraum für die Anpassung oder Gegenüberstellung der beiden Ansätze innerhalb des unterstellten Gesellschaftsvertragsmodells.</w:t>
      </w:r>
    </w:p>
    <w:p>
      <w:pPr>
        <w:pStyle w:val="Flietext21"/>
        <w:keepNext w:val="false"/>
        <w:keepLines w:val="false"/>
        <w:widowControl w:val="false"/>
        <w:numPr>
          <w:ilvl w:val="0"/>
          <w:numId w:val="58"/>
        </w:numPr>
        <w:shd w:val="clear" w:color="auto" w:fill="auto"/>
        <w:tabs>
          <w:tab w:val="clear" w:pos="720"/>
          <w:tab w:val="left" w:pos="665" w:leader="none"/>
        </w:tabs>
        <w:bidi w:val="0"/>
        <w:spacing w:lineRule="auto" w:line="189" w:before="0" w:after="0"/>
        <w:ind w:left="0" w:right="0" w:firstLine="280"/>
        <w:jc w:val="both"/>
        <w:rPr/>
      </w:pPr>
      <w:r>
        <w:rPr>
          <w:color w:val="000000"/>
          <w:spacing w:val="0"/>
          <w:w w:val="100"/>
          <w:shd w:fill="auto" w:val="clear"/>
          <w:lang w:val="en-US" w:eastAsia="en-US" w:bidi="en-US"/>
        </w:rPr>
        <w:t>vgl. insb. Eric Voegelin, Ordnung und Geschichte, Bd. ICH</w:t>
      </w:r>
    </w:p>
    <w:p>
      <w:pPr>
        <w:pStyle w:val="Flietext21"/>
        <w:keepNext w:val="false"/>
        <w:keepLines w:val="false"/>
        <w:widowControl w:val="false"/>
        <w:numPr>
          <w:ilvl w:val="0"/>
          <w:numId w:val="58"/>
        </w:numPr>
        <w:shd w:val="clear" w:color="auto" w:fill="auto"/>
        <w:tabs>
          <w:tab w:val="clear" w:pos="720"/>
          <w:tab w:val="left" w:pos="625" w:leader="none"/>
        </w:tabs>
        <w:bidi w:val="0"/>
        <w:spacing w:lineRule="auto" w:line="213" w:before="0" w:after="200"/>
        <w:ind w:left="0" w:right="0" w:firstLine="280"/>
        <w:jc w:val="both"/>
        <w:rPr/>
      </w:pPr>
      <w:r>
        <w:rPr>
          <w:color w:val="000000"/>
          <w:spacing w:val="0"/>
          <w:w w:val="100"/>
          <w:shd w:fill="auto" w:val="clear"/>
          <w:lang w:val="en-US" w:eastAsia="en-US" w:bidi="en-US"/>
        </w:rPr>
        <w:t>vgl. Gerhard Niemeyer, Between Nothingness and Paradise, (Baton Ronge: Louisiana State University Press, 1971), passim.</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Es sollte offensichtlich sein, dass es neben der Frage des Primats eine zweite Ungleichheit in den beiden Elementen des Modells gibt. Hobbes hat es mit den Ordnungsvoraussetzungen als solchen zu tun, und seine Argumentation gilt daher für alle Gesellschaften aller Art unter allen Bedingungen. Die Universität seiner Empfehlungen ist so umfassend wie die Postulate der menschlichen Natur, auf denen sie beruht. Rousseau verengt bewusst seinen Fokus (in Contrat Social) und befasst sich nur mit legitimen Gesellschaften, wobei dieser Begriff zwei Bedingungen impliziert: erstens Gemeinschaft, die ein hohes Maß an Konsens und Einheit beinhaltet; und zweitens Orientierung an der Tugend. Da es zahlreiche Gesellschaften gibt, denen eine oder beide dieser Eigenschaften fehlen, folgt daraus, dass für viele Gesellschaften der unterstellte Vertrag nur teilweise relevant ist.</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In dieser Hinsicht kann Greens Argument dem von Rousseau gegenübergestellt werden, denn aus dieser Sicht besteht der signifikante Unterschied zwischen den beiden darin, dass Green den Mechanismus der Geschichte konkretisiert, den Rousseau nur andeutet. Rousseau beschränkt die Anwendbarkeit seiner Analyse auf legitime Gesellschaften; Green erweitert die Relevanz dieses Kriteriums, indem es einen Mechanismus der Geschichte annimmt, der das Überleben nur legitimer Gesellschaften sicherstellt. Greens Erörterung des Fortschritts basiert auf dem Optimismus, der durch das Funktionieren dieses Mechanismus erzeugt wird. Rousseau ist zeitbewusst, als Feind, der sogar Sparta und Rom zerstört hat, und sein legitimes Gemeinwesen tendiert zur Stasis; Da Green in Form dieses historischen Mechanismus einen zuverlässigen Verbündeten hat, braucht und sucht seine Argumentation keine solche Starrheit. Wenn man sowohl den platonischen Pessimismus von Rousseau als auch den locker begründeten Optimismus von Green vermeidet, kann man dennoch zu einem Mittelweg gelangen, der zum Konzept der volonte generale als dynamischem Gemeinwohl passt. Wenn das Individuum in einer auf Tugend ausgerichteten Gesellschaft lebt (das heißt, die Begierden und Wünsche des Individuums begrenzt, um ihm zu erlauben, Tugend zu suchen), und wenn diese Gesellschaft nicht so zerbrechlich ist, dass Veränderungen zum Zusammenbruch neigen, dann dieses Individuum kann eine rationale Kritik an seiner eigenen Gesellschaft in Bezug auf Tugend anwenden und versuchen, sowohl die Struktur der Gesellschaft als auch das Bewusstsein seiner Mitbürger zu verändern, um Tugend vollständiger zu verwirklichen; und da diese gesuchte Tugend ein Produkt sowohl der minimalen Elemente ist, die vom „natürlichen“ Menschen stammen, als auch der Kontingenzen einer bestimmten sozialen Form, könnten alle derartigen Veränderungen, die er durchführt, die von ihm angestrebte Tugend so verändern, dass der Prozess potenziell endlos wird . Dies ist eine Position, die der von Green viel näher steht als der von Rousseau; Der Unterschied wäre, dass Green es von allen verlangen würde, diese modifizierte Version von Rousseau es nur von denen erwarten würde, die das Glück haben, in einem legitimen Gemeinwesen zu leben, mit der Option, „am Rande der Gesellschaft zu leben“ von denen, die dies wünschen tugendhaft sein, aber nicht so gut platziert sind. Der Mittelweg zwischen Rousseaus Pessimismus und Greens Optimismus ist eine allgemeine Ausrichtung auf Verbesserung in Bezug auf die Tugend, obwohl jede spezifische Anstrengung gut oder schlecht gerichtet und effektiv sein kann oder nicht, und jede spezifische Änderung einen Fortschritt darstellen kann oder nicht .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1"/>
        <w:keepNext w:val="false"/>
        <w:keepLines w:val="false"/>
        <w:widowControl w:val="false"/>
        <w:shd w:val="clear" w:color="auto" w:fill="auto"/>
        <w:bidi w:val="0"/>
        <w:spacing w:before="0" w:after="240"/>
        <w:ind w:left="0" w:right="0" w:firstLine="320"/>
        <w:jc w:val="both"/>
        <w:rPr/>
      </w:pPr>
      <w:r>
        <w:rPr>
          <w:color w:val="000000"/>
          <w:spacing w:val="0"/>
          <w:w w:val="100"/>
          <w:shd w:fill="auto" w:val="clear"/>
          <w:lang w:val="en-US" w:eastAsia="en-US" w:bidi="en-US"/>
        </w:rPr>
        <w:t>Aus den Erkenntnissen von Hobbes, Rousseau und Green können wir daher ein allgemeines Modell des unterstellten Vertrags ableiten, das zwei Elemente enthält: erstens ein Verständnis der logischen Voraussetzungen von Ordnung; und zweitens, aufbauend auf der ersten, eine Ausrichtung einer legitimen Ordnung auf Selbstverbesserung in Bezug auf die Tugend. Beide Elemente teilen die gemeinsame Ansicht, dass der Staat nur existiert, um den Bedürfnissen seiner Mitglieder zu dienen (diese werden etwas anders definiert) und sind folglich logischerweise von dem Flirt mit dem Kollektivismus ausgeschlossen, der so oft sowohl bei Rousseau als auch bei Green gelesen wird.</w:t>
      </w:r>
    </w:p>
    <w:p>
      <w:pPr>
        <w:pStyle w:val="Flietext1"/>
        <w:keepNext w:val="false"/>
        <w:keepLines w:val="false"/>
        <w:widowControl w:val="false"/>
        <w:shd w:val="clear" w:color="auto" w:fill="auto"/>
        <w:bidi w:val="0"/>
        <w:spacing w:before="0" w:after="120"/>
        <w:ind w:left="0" w:right="0" w:hanging="0"/>
        <w:jc w:val="center"/>
        <w:rPr/>
      </w:pPr>
      <w:r>
        <w:rPr>
          <w:b/>
          <w:bCs/>
          <w:color w:val="000000"/>
          <w:spacing w:val="0"/>
          <w:w w:val="100"/>
          <w:shd w:fill="auto" w:val="clear"/>
          <w:lang w:val="en-US" w:eastAsia="en-US" w:bidi="en-US"/>
        </w:rPr>
        <w:t>-III-</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Das so präsentierte Modell ist noch weit davon entfernt, selbstverständlich zu sein und scheint in einer Reihe von Punkten, einschließlich der grundlegendsten, anfällig für Einwände zu sein: erstens die Rechtfertigung für die Verwendung eines Vertragsmodus; und zweitens das Problem des Vernunftbegriffs im Modell des „rationalen“ Menschen. Andere Einwände können natürlich erhoben werden, aber diese gehen an die Wurzel des Arguments; wenn die Täuschung des Vertragsmodus willkürlich und nicht zu rechtfertigen ist und wenn das verwendete Grundkonzept der Vernunft philosophisch naiv ist, dann kann das Modell rundweg verworfen werden. Diese beiden Einwände werden daher der Reihe nach geprüft.</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Erstens ist der Grund für die Verwendung des Vertragsmodus die erste Prämisse beider Syllogismen für den Gesellschaftsvertrag – diese Annahme, dass ein Mann nur durch seine eigene freiwillig gegebene Zustimmung gebunden sein kann. Wenn dies der Ausgangspunkt ist, kann nur irgendeine Form des Versprechens eine akzeptable Lösung bieten. Damit ist die Frage aber nicht beantwortet, sondern nur festgestellt, und das Problem wendet sich nun der Berechtigung der Ausgangsprämisse selbst zu. Sie wird gewöhnlich mit der Akzeptanz des Begriffs des atomaren Individuums durch die Vertragsparteien beantwortet, aber das ist unbefriedigend; Rousseaus Individuum ist kein soziales Atom, sondern ist stattdessen sehr stark den Härten der Sozialisation ausgesetzt, und dies schließt Rousseaus Verwendung des Vertragsmodells nicht aus. Obwohl die Annahme des atomistischen Individuums der individualistischen Prämisse kongenial ist, ist sie kein wesentlicher Teil ihrer Rechtfertigung; eine solche Rechtfertigung kann besser in Bezug auf die Folgen ihrer Verwendung angegeben werden. Der überwältigende Vorteil der Anwendung des Vertragsmodells (insbesondere in der unterstellten Version) besteht darin, dass es dem Individuum alle kontingenten Eigenschaften oder Besitztümer raubt; er muss kalkulieren, nicht als das einzigartige Individuum X, sondern als ein Beispiel des Gattungsmenschen. Während die Reduktion der kanadischen Regierung auf ein abstraktes Amt, das zwanzig Millionen Mal wiederholt einem rationalen Mann gegenübersteht, eine grobe Beleidigung für einen Empiriker und eine Quelle positiven Schmerzes für einen Behavioristen ist, funktioniert es genauso effektiv wie Rawls' hochkünstlicher „Schleier der Ignoranz“. um zu verhindern, dass zufällige Eigenschaften (z. B. dass ich der Millionär bin, der die Steuern zahlen wird, oder dass ich einer von denen bin, die möglicherweise eingezogen werden) in Diskussionen über politische Verpflichtungen einfließen. Obwohl Hobbes normalerweise als Philosoph des Eigeninteresses dargestellt wird, wird seine Position im Pantheon des Egoismus ernsthaft durch die Tatsache untergraben, dass es nicht das Eigeninteresse von X und Y und Z ist, sondern das eines hypothetischen abstrakten Vernünftigen Mann, das weckt sein Interesse. Da eine Aufmerksamkeitsverlagerung weg von individuellen Interessen ein wichtiges frühes Stadium jeder moralischen Argumentation ist, ist dieser Effekt des Vertragsmodus eine starke Empfehlung.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Noch verheerender erscheint der Angriff über die Vernunftkritik. Wie hier dargestellt, liest das unterstellte Vertragsmodell den Kontrahenten jenen Fehler (zumindest in vielen modernen Augen) der Naturrechtstheoretiker vor, nämlich ein Konzept der Vernunft, das ihre Fähigkeit impliziert, materielle moralische Prinzipien zu entdecken, die auf alle Zeiten und Bedingungen anwendbar sind. Da Hobbes eher von Klugheit als von Tugend spricht und die Vernunft einer einzigen dominierenden Leidenschaft unterordnet, neigt er dazu, an dem Einwand vorbeizugleiten, aber insofern Rousseau die Notwendigkeit der Vernunft ohne Hilfe zur Ausarbeitung von Verhaltensregeln impliziert, stößt er direkt darauf. Es steht außer Frage, dass Rousseau die Vernunft als eine unveränderliche Fähigkeit betrachtete, die einen einzigen Begriff der Tugend und eine einzige darauf gerichtete soziale Form (mit geringfügigen Abweichungen aus geografischen und klimatischen Gründen) hervorbrachte, und insofern kann er von den Begriffen nicht freigesprochen werden die Anklage. Die Frage ist jedoch, ob die erste Annäherung an Rousseau ebenso verworfen werden kann, und die Antwort darauf ist weniger offensichtlich.</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Rousseau griff den Begriff des Naturrechts an, aber er tat dies in sehr zweideutigen Worten. Sein zentraler Einwand war, dass die meisten Naturrechts-/Gesellschaftsvertragstheorien von den Menschen verlangten, im Naturzustand Fähigkeiten auszuüben, die sie nur durch die Gesellschaft erlangten.568 Ähnlich erwähnte Rousseau, als er den Vertrag diskutierte, der in der legitimen Gesellschaft gilt, die Gewinne des Menschen sowohl die Tugend (seine Handlungen nehmen einen „moralischen Charakter“ an und die „Stimme der Pflicht folgt dem physischen Impuls“) als auch die Vernunft („verwandelte ihn von einem ... dummen Tier in ein intelligentes Wesen“). Dies deutet darauf hin, dass sowohl Tugend als auch Vernunft Fähigkeiten des natürlichen Menschen sind, die nicht in einem Zustand natürlicher Freiheit entwickelt werden können, sondern nur innerhalb eines legitimen Gemeinwesens. Insofern die erste Annäherung an Rousseau bereits die Vorstellung einer Tugendorientierung zur Selbstverbesserung impliziert, erscheint sie einer ebenso progressiven wie dynamischen Vernunftauffassung ebenso kongenial. Männer besitzen ein Potenzial für Tugend und Vernunft; das legitime Gemeinwesen ermöglicht die Entwicklung dieser Fähigkeiten; die volle Entwicklung ist jedoch nicht gleichzeitig mit dem Vertrag, denn sie „ne se developmentpent qu'avec beaucoup de peine et pour fort peu de gens dans le sein de la societe meme.“569 Die Tugend, an der sich die Gesellschaft orientiert, ist ein Produkt von einige unveränderliche Elemente (die Voraussetzungen der Ordnung; die Qualitäten des „natürlichen“ Menschen) und die sich ändernden Eventualitäten einer bestimmten Gesellschaft; der Grund, der das Individuum zu dieser Orientierung führt, ist in ähnlicher Weise ein Produkt sowohl unveränderlicher als auch zeitlicher/kultureller spezifischer Faktoren. Anstatt den Begriff der Tugend relativistisch zu entwickeln, hätte man dasselbe erreichen können, indem man den Begriff der Vernunft relativistisch entwickelte; Die Argumente sind konvergent. Wieder wird Grün zu einem nützlichen Korrektiv für Rousseau; Das Konzept des rationalen Menschen ist zeitlos, aber einige Aspekte der spezifischen Gesellschaft (aber nicht des spezifischen Individuums) sind für die Berechnungen dieses rationalen Menschen relevant, da ein rationaler Mensch in der Gesellschaft X etwas zustimmen kann, was er nicht tun würde Zustimmung zur Gesellschaft Y. Eine solche Überlegung erschwert die Anwendung des unterstellten Vertragsmodells, widerlegt es aber nicht.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Damit versagen die beiden grundlegenden Einwände. Der Vertragsmodus wird durch seine Nebenwirkungen gerechtfertigt – die sofortige Entfernung individueller Eventualitäten und damit individueller egoistischer Interessen aus der Betrachtung der Frage der politischen Verpflichtung. Die Behandlung der Vernunft beinhaltet nicht notwendigerweise eine zeitlose Vernunft, die unveränderliche materielle moralische Prinzipien für alle Zeiten und Bedingungen hervorbringt, sondern ist gleichermaßen kompatibel mit einer eher relativistischen und entwicklungsorientierten Behandlung.</w:t>
      </w:r>
    </w:p>
    <w:p>
      <w:pPr>
        <w:sectPr>
          <w:footerReference w:type="even" r:id="rId29"/>
          <w:footerReference w:type="default" r:id="rId30"/>
          <w:type w:val="nextPage"/>
          <w:pgSz w:w="12240" w:h="15840"/>
          <w:pgMar w:left="1488" w:right="1488" w:gutter="0" w:header="0" w:top="1430" w:footer="822" w:bottom="1250"/>
          <w:pgNumType w:fmt="decimal"/>
          <w:formProt w:val="false"/>
          <w:textDirection w:val="lrTb"/>
          <w:docGrid w:type="default" w:linePitch="360" w:charSpace="0"/>
        </w:sect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Solche Überlegungen belegen nicht, dass das unterstellte Vertragsmodell eine Lösung für das aktuelle Problem der politischen Verpflichtung bieten kann; sie suggerieren lediglich, dass es sich um einen möglichen Ansatz handelt, der keine offensichtlichen Nachteile und eine Reihe signifikanter Vorteile aufweist. Eine spezifischere Rechtfertigung und Anwendung des Modells – gleichsam mit einer Argumentation, die über die im einleitenden Abschnitt dargelegten vereinfachenden Annahmen hinausgeht – würde eine umfangreiche Argumentation in einer Länge erfordern, die in diesem Unternehmen ausgeschlossen ist. Der Zweck dieser Arbeit war es, als alternativen und zufriedenstellenderen Ansatz zum kontraktualen Denken das Modell des unterstellten Vertrags vorzuschlagen – das heißt, einen Vertrag, der auf der zeitlosen Zustimmung eines hypothetischen und generischen rationalen Menschen basiert. Ein solcher überarbeiteter Ansatz, der den meisten Kritikpunkten am Vertragsdenken ausweicht, ist an sich so etwas wie eine Rechtfertigung des Vertrags. Obwohl der „Cash-in“-Wert des unterstellten Vertrags im Sinne des aktuellen Problems der politischen Verpflichtung eher angedeutet als nachgewiesen werden kann, ist er Modellen, die auf einer angeblich freiwilligen Zustimmung aufbauen, deutlich überlegen, und dies ist ein Hinweis auf den Wert des Konzept.</w:t>
      </w:r>
    </w:p>
    <w:p>
      <w:pPr>
        <w:sectPr>
          <w:footerReference w:type="even" r:id="rId31"/>
          <w:footerReference w:type="default" r:id="rId32"/>
          <w:type w:val="nextPage"/>
          <w:pgSz w:w="12240" w:h="15840"/>
          <w:pgMar w:left="1488" w:right="1488" w:gutter="0" w:header="0" w:top="1512" w:footer="1084" w:bottom="1512"/>
          <w:pgNumType w:fmt="decimal"/>
          <w:formProt w:val="false"/>
          <w:textDirection w:val="lrTb"/>
          <w:docGrid w:type="default" w:linePitch="360" w:charSpace="0"/>
        </w:sectPr>
        <w:pStyle w:val="Flietext81"/>
        <w:keepNext w:val="false"/>
        <w:keepLines w:val="false"/>
        <w:widowControl w:val="false"/>
        <w:shd w:val="clear" w:color="auto" w:fill="auto"/>
        <w:bidi w:val="0"/>
        <w:spacing w:lineRule="auto" w:line="240" w:before="0" w:after="0"/>
        <w:ind w:left="0" w:right="0" w:hanging="0"/>
        <w:jc w:val="center"/>
        <w:rPr/>
      </w:pPr>
      <w:bookmarkStart w:id="45" w:name="bookmark54"/>
      <w:r>
        <w:rPr>
          <w:color w:val="000000"/>
          <w:spacing w:val="0"/>
          <w:w w:val="100"/>
          <w:shd w:fill="auto" w:val="clear"/>
          <w:lang w:val="en-US" w:eastAsia="en-US" w:bidi="en-US"/>
        </w:rPr>
        <w:t>ANHÄNGE</w:t>
      </w:r>
      <w:bookmarkEnd w:id="45"/>
    </w:p>
    <w:p>
      <w:pPr>
        <w:pStyle w:val="Flietext71"/>
        <w:keepNext w:val="false"/>
        <w:keepLines w:val="false"/>
        <w:widowControl w:val="false"/>
        <w:shd w:val="clear" w:color="auto" w:fill="auto"/>
        <w:bidi w:val="0"/>
        <w:spacing w:lineRule="auto" w:line="240" w:before="0" w:after="0"/>
        <w:ind w:left="0" w:right="0" w:hanging="0"/>
        <w:jc w:val="center"/>
        <w:rPr/>
      </w:pPr>
      <w:r>
        <w:rPr>
          <w:spacing w:val="0"/>
          <w:w w:val="100"/>
          <w:shd w:fill="auto" w:val="clear"/>
          <w:lang w:val="en-US" w:eastAsia="en-US" w:bidi="en-US"/>
        </w:rPr>
        <w:t>Anhang I</w:t>
      </w:r>
    </w:p>
    <w:p>
      <w:pPr>
        <w:pStyle w:val="Flietext71"/>
        <w:keepNext w:val="false"/>
        <w:keepLines w:val="false"/>
        <w:widowControl w:val="false"/>
        <w:shd w:val="clear" w:color="auto" w:fill="auto"/>
        <w:bidi w:val="0"/>
        <w:spacing w:lineRule="auto" w:line="240" w:before="0" w:after="400"/>
        <w:ind w:left="0" w:right="0" w:hanging="0"/>
        <w:jc w:val="center"/>
        <w:rPr/>
      </w:pPr>
      <w:hyperlink w:anchor="bookmark17" w:tgtFrame="Current Document">
        <w:bookmarkStart w:id="46" w:name="bookmark55"/>
        <w:r>
          <w:rPr>
            <w:spacing w:val="0"/>
            <w:w w:val="100"/>
            <w:shd w:fill="auto" w:val="clear"/>
            <w:lang w:val="en-US" w:eastAsia="en-US" w:bidi="en-US"/>
          </w:rPr>
          <w:t>Walzer und die Demokratische Konsenstheorie</w:t>
        </w:r>
      </w:hyperlink>
      <w:bookmarkEnd w:id="46"/>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Walzer ist viel zu bescheiden, wenn er seiner Argumentation in Obligations jede Originalität abspricht und behauptet, nur „ein Stück konventionelle Weisheit“ ausarbeiten zu wollen. eine indirekte statt direkte Zustimmung zur Autorität des Staates zu implizieren – ist eine deutliche Abkehr von solchen intellektuellen Vorläufern wie Hobbes und Locke, deren analytische Methode solche zwischengeschalteten Organisationen umgeht. Aufgrund dieses Innovationsgrades konnte die Behandlung der Theorie des demokratischen Konsenses in dieser Diskussion nicht sinnvoll als Analyse Walzers entwickelt werden, und er fordert eine gesonderte Behandlung. Auf die Demokratie an sich geht er ganz kurz ein und spricht nur von einem Recht auf möglichst demokratische Institutionen und Verfahren,651 an die man durch die Tatsache der Partizipation gebunden ist, egal ob für Gewinner oder Verlierer,652 er ist in erster Linie eher pluralistisch als demokratische Herangehensweise an Zustimmung und Verpflichtung653, und obwohl sich die beiden keineswegs gegenseitig ausschließen, ist der Unterschied in der Betonung signifikant und wichtig.</w:t>
      </w:r>
    </w:p>
    <w:p>
      <w:pPr>
        <w:pStyle w:val="Flietext1"/>
        <w:keepNext w:val="false"/>
        <w:keepLines w:val="false"/>
        <w:widowControl w:val="false"/>
        <w:shd w:val="clear" w:color="auto" w:fill="auto"/>
        <w:bidi w:val="0"/>
        <w:spacing w:before="0" w:after="280"/>
        <w:ind w:left="0" w:right="0" w:firstLine="280"/>
        <w:jc w:val="both"/>
        <w:rPr/>
      </w:pPr>
      <w:r>
        <w:rPr>
          <w:color w:val="000000"/>
          <w:spacing w:val="0"/>
          <w:w w:val="100"/>
          <w:shd w:fill="auto" w:val="clear"/>
          <w:lang w:val="en-US" w:eastAsia="en-US" w:bidi="en-US"/>
        </w:rPr>
        <w:t>Da sich der Konsens in Walzers Theorie von dem anderer Konsenstheoretiker dadurch unterscheidet, dass er nicht direkt dem Staat, sondern freiwilligen Gruppen durch die Mitgliedschaft darin gegeben wird, stellt sich die Frage, ob ihn dies von irgendwelchen Schwierigkeiten befreit, die er hat wurde argumentiert, verfälschen die Theorie des demokratischen Konsenses. Es scheint ziemlich klar, dass dies in keiner wichtigen Hinsicht der Fall ist; die Gewinne in einer Hinsicht werden durch zusätzliche Schwierigkeiten in anderen mehr als ausgeglichen.</w:t>
      </w:r>
    </w:p>
    <w:p>
      <w:pPr>
        <w:pStyle w:val="Flietext21"/>
        <w:keepNext w:val="false"/>
        <w:keepLines w:val="false"/>
        <w:widowControl w:val="false"/>
        <w:numPr>
          <w:ilvl w:val="0"/>
          <w:numId w:val="60"/>
        </w:numPr>
        <w:shd w:val="clear" w:color="auto" w:fill="auto"/>
        <w:tabs>
          <w:tab w:val="clear" w:pos="720"/>
          <w:tab w:val="left" w:pos="629" w:leader="none"/>
        </w:tabs>
        <w:bidi w:val="0"/>
        <w:spacing w:lineRule="auto" w:line="213" w:before="0" w:after="0"/>
        <w:ind w:left="0" w:right="0" w:firstLine="280"/>
        <w:jc w:val="both"/>
        <w:rPr/>
      </w:pPr>
      <w:r>
        <w:rPr>
          <w:color w:val="000000"/>
          <w:spacing w:val="0"/>
          <w:w w:val="100"/>
          <w:shd w:fill="auto" w:val="clear"/>
          <w:lang w:val="en-US" w:eastAsia="en-US" w:bidi="en-US"/>
        </w:rPr>
        <w:t>Michael Walzer, Obligations: Essays on disobedience, War and Citizenship (Cambridge, Mass.: Harvard University Press, 1970), p. ix.</w:t>
      </w:r>
    </w:p>
    <w:p>
      <w:pPr>
        <w:pStyle w:val="Flietext21"/>
        <w:keepNext w:val="false"/>
        <w:keepLines w:val="false"/>
        <w:widowControl w:val="false"/>
        <w:numPr>
          <w:ilvl w:val="0"/>
          <w:numId w:val="60"/>
        </w:numPr>
        <w:shd w:val="clear" w:color="auto" w:fill="auto"/>
        <w:tabs>
          <w:tab w:val="clear" w:pos="720"/>
          <w:tab w:val="left" w:pos="644" w:leader="none"/>
        </w:tabs>
        <w:bidi w:val="0"/>
        <w:spacing w:lineRule="auto" w:line="189" w:before="0" w:after="0"/>
        <w:ind w:left="0" w:right="0" w:firstLine="240"/>
        <w:jc w:val="left"/>
        <w:rPr/>
      </w:pPr>
      <w:r>
        <w:rPr>
          <w:color w:val="000000"/>
          <w:spacing w:val="0"/>
          <w:w w:val="100"/>
          <w:shd w:fill="auto" w:val="clear"/>
          <w:lang w:val="en-US" w:eastAsia="en-US" w:bidi="en-US"/>
        </w:rPr>
        <w:t>Ebd., „Ziviler Ungehorsam und Unternehmensautorität“, S. 29.</w:t>
      </w:r>
    </w:p>
    <w:p>
      <w:pPr>
        <w:pStyle w:val="Flietext21"/>
        <w:keepNext w:val="false"/>
        <w:keepLines w:val="false"/>
        <w:widowControl w:val="false"/>
        <w:numPr>
          <w:ilvl w:val="0"/>
          <w:numId w:val="60"/>
        </w:numPr>
        <w:shd w:val="clear" w:color="auto" w:fill="auto"/>
        <w:tabs>
          <w:tab w:val="clear" w:pos="720"/>
          <w:tab w:val="left" w:pos="644" w:leader="none"/>
        </w:tabs>
        <w:bidi w:val="0"/>
        <w:spacing w:lineRule="auto" w:line="189" w:before="0" w:after="0"/>
        <w:ind w:left="0" w:right="0" w:firstLine="240"/>
        <w:jc w:val="left"/>
        <w:rPr/>
      </w:pPr>
      <w:r>
        <w:rPr>
          <w:color w:val="000000"/>
          <w:spacing w:val="0"/>
          <w:w w:val="100"/>
          <w:shd w:fill="auto" w:val="clear"/>
          <w:lang w:val="en-US" w:eastAsia="en-US" w:bidi="en-US"/>
        </w:rPr>
        <w:t>Ebd., Einleitung, S. xiii.</w:t>
      </w:r>
    </w:p>
    <w:p>
      <w:pPr>
        <w:pStyle w:val="Flietext21"/>
        <w:keepNext w:val="false"/>
        <w:keepLines w:val="false"/>
        <w:widowControl w:val="false"/>
        <w:numPr>
          <w:ilvl w:val="0"/>
          <w:numId w:val="60"/>
        </w:numPr>
        <w:shd w:val="clear" w:color="auto" w:fill="auto"/>
        <w:tabs>
          <w:tab w:val="clear" w:pos="720"/>
          <w:tab w:val="left" w:pos="644" w:leader="none"/>
        </w:tabs>
        <w:bidi w:val="0"/>
        <w:spacing w:lineRule="auto" w:line="189" w:before="0" w:after="200"/>
        <w:ind w:left="0" w:right="0" w:firstLine="240"/>
        <w:jc w:val="left"/>
        <w:rPr/>
      </w:pPr>
      <w:r>
        <w:rPr>
          <w:color w:val="000000"/>
          <w:spacing w:val="0"/>
          <w:w w:val="100"/>
          <w:shd w:fill="auto" w:val="clear"/>
          <w:lang w:val="en-US" w:eastAsia="en-US" w:bidi="en-US"/>
        </w:rPr>
        <w:t>Ebd., „Das Problem der Staatsbürgerschaft“, „Die Verpflichtung zum Ungehorsam“.</w:t>
      </w:r>
    </w:p>
    <w:p>
      <w:pPr>
        <w:pStyle w:val="Flietext1"/>
        <w:keepNext w:val="false"/>
        <w:keepLines w:val="false"/>
        <w:widowControl w:val="false"/>
        <w:shd w:val="clear" w:color="auto" w:fill="auto"/>
        <w:bidi w:val="0"/>
        <w:spacing w:before="0" w:after="280"/>
        <w:ind w:left="0" w:right="0" w:firstLine="280"/>
        <w:jc w:val="both"/>
        <w:rPr/>
      </w:pPr>
      <w:r>
        <w:rPr>
          <w:color w:val="000000"/>
          <w:spacing w:val="0"/>
          <w:w w:val="100"/>
          <w:shd w:fill="auto" w:val="clear"/>
          <w:lang w:val="en-US" w:eastAsia="en-US" w:bidi="en-US"/>
        </w:rPr>
        <w:t>Erstens ist die Einwilligung, um die es Walzer geht, eine willkürliche und freiwillige Einwilligung; es ist moralisch gleichgültig, ob sich ein Mensch in einem bestimmten Fall oder sogar im Allgemeinen dafür entscheidet, sich zu verpflichten oder nicht, und wir können nur von den Folgen sprechen, die sich aus der Entscheidung eines Handelnden ergeben, sich zu verpflichten. Ein Einsiedler hat weder Verpflichtungen wie Walzer654 noch hat er sich in irgendeiner Weise verhalten, die Walzer zu kritisieren berufen wäre; er hat sich lediglich aus der Argumentation herausgelesen. Angesichts Walzers Annahmen können wir nichts über die Verpflichtungen des allgemeinen Menschen sagen, außer vielleicht, dass er dazu neigt, Verpflichtungen durch die Mitgliedschaft in freiwilligen Gruppen einzugehen. Die Verpflichtung, wenn sie vorhanden ist, wird nicht vom allgemeinen Menschen – vom Menschen als solchem ​​– gesetzt, sondern von einem bestimmten Menschen, der sich durch eine bestimmte Art der Zugehörigkeit zu einer bestimmten Art von Gruppe verpflichtet hat. Die Verpflichtungen verschiedener Menschen müssen nichts gemeinsam haben außer den Mitteln, durch die sie erworben werden; Um von den Pflichten eines bestimmten Menschen zu sprechen, können wir uns nicht nur auf Eigenschaften beziehen, die alle Menschen teilen, weil sie Männer sind, sondern vielmehr</w:t>
      </w:r>
    </w:p>
    <w:p>
      <w:pPr>
        <w:pStyle w:val="Flietext1"/>
        <w:keepNext w:val="false"/>
        <w:keepLines w:val="false"/>
        <w:widowControl w:val="false"/>
        <w:shd w:val="clear" w:color="auto" w:fill="auto"/>
        <w:bidi w:val="0"/>
        <w:spacing w:lineRule="auto" w:line="252" w:before="0" w:after="280"/>
        <w:ind w:left="240" w:right="0" w:firstLine="380"/>
        <w:jc w:val="left"/>
        <w:rPr/>
      </w:pPr>
      <w:r>
        <w:rPr>
          <w:color w:val="000000"/>
          <w:spacing w:val="0"/>
          <w:w w:val="100"/>
          <w:shd w:fill="auto" w:val="clear"/>
          <w:vertAlign w:val="superscript"/>
          <w:lang w:val="en-US" w:eastAsia="en-US" w:bidi="en-US"/>
        </w:rPr>
        <w:t>Der genaue Inhalt dieser Verpflichtungen ... die relative Intensität des Engagements – all dies muss ausgehandelt werden und wird in verschiedenen Organisationen mit sehr unterschiedlichen Ergebnissen ausgehandelt. Es gibt kein einziges richtiges Ergebnis, das ich oder irgendjemand sonst festlegen kann.655</w:t>
      </w:r>
    </w:p>
    <w:p>
      <w:pPr>
        <w:pStyle w:val="Flietext1"/>
        <w:keepNext w:val="false"/>
        <w:keepLines w:val="false"/>
        <w:widowControl w:val="false"/>
        <w:shd w:val="clear" w:color="auto" w:fill="auto"/>
        <w:bidi w:val="0"/>
        <w:spacing w:before="0" w:after="280"/>
        <w:ind w:left="0" w:right="0" w:hanging="0"/>
        <w:jc w:val="both"/>
        <w:rPr/>
      </w:pPr>
      <w:r>
        <w:rPr>
          <w:color w:val="000000"/>
          <w:spacing w:val="0"/>
          <w:w w:val="100"/>
          <w:shd w:fill="auto" w:val="clear"/>
          <w:lang w:val="en-US" w:eastAsia="en-US" w:bidi="en-US"/>
        </w:rPr>
        <w:t>Der Gegensatz zum unterstellten Vertrag ist klar; unterstellte Zustimmung ist die Zustimmung nicht bestimmter Personen, sondern des Menschen als solcher. Folglich räumt Walzer ein notwendiges und unvermeidliches Maß an Kontingenz ein; ob der Mensch zu irgendetwas verpflichtet ist oder nicht, und diese Frage kann nur anhand einer rein persönlichen Biographie geklärt werden. Wenn Walzer die Art der Mitgliedschaft und die Art der Gruppe, die Verpflichtungen hervorrufen kann, einschränkt (wie wir später diskutieren werden), verleiht er diesem Problem größere Bedeutung.</w:t>
      </w:r>
    </w:p>
    <w:p>
      <w:pPr>
        <w:pStyle w:val="Flietext21"/>
        <w:keepNext w:val="false"/>
        <w:keepLines w:val="false"/>
        <w:widowControl w:val="false"/>
        <w:numPr>
          <w:ilvl w:val="0"/>
          <w:numId w:val="60"/>
        </w:numPr>
        <w:shd w:val="clear" w:color="auto" w:fill="auto"/>
        <w:tabs>
          <w:tab w:val="clear" w:pos="720"/>
          <w:tab w:val="left" w:pos="625" w:leader="none"/>
        </w:tabs>
        <w:bidi w:val="0"/>
        <w:spacing w:lineRule="auto" w:line="228" w:before="0" w:after="0"/>
        <w:ind w:left="0" w:right="0" w:firstLine="300"/>
        <w:jc w:val="both"/>
        <w:rPr/>
      </w:pPr>
      <w:r>
        <w:rPr>
          <w:i/>
          <w:iCs/>
          <w:color w:val="000000"/>
          <w:spacing w:val="0"/>
          <w:w w:val="100"/>
          <w:shd w:fill="auto" w:val="clear"/>
          <w:lang w:val="en-US" w:eastAsia="en-US" w:bidi="en-US"/>
        </w:rPr>
        <w:t>Ein religiöser Einsiedler könnte als Mitglied einer bestimmten Art von Gruppe angesehen werden und hat daher bestimmte Verpflichtungen, die sich aus einer solchen Mitgliedschaft ergeben; Der nichtreligiöse Einsiedler, der Mann, der jede Interaktion oder jeden Kontakt mit anderen eifrig vermeidet, ist ein anderer Fall, und es scheint, dass er keine solchen Verpflichtungen hat. Walzer bringt diesen Punkt durcheinander, wenn er sich erlaubt, von der „menschlichen Gemeinschaft“ als einer verpflichtenden Gruppe zu sprechen. siehe ebenda.</w:t>
      </w:r>
    </w:p>
    <w:p>
      <w:pPr>
        <w:pStyle w:val="Flietext21"/>
        <w:keepNext w:val="false"/>
        <w:keepLines w:val="false"/>
        <w:widowControl w:val="false"/>
        <w:numPr>
          <w:ilvl w:val="0"/>
          <w:numId w:val="60"/>
        </w:numPr>
        <w:shd w:val="clear" w:color="auto" w:fill="auto"/>
        <w:tabs>
          <w:tab w:val="clear" w:pos="720"/>
          <w:tab w:val="left" w:pos="639" w:leader="none"/>
        </w:tabs>
        <w:bidi w:val="0"/>
        <w:spacing w:lineRule="auto" w:line="189" w:before="0" w:after="200"/>
        <w:ind w:left="0" w:right="0" w:firstLine="240"/>
        <w:jc w:val="left"/>
        <w:rPr/>
      </w:pPr>
      <w:r>
        <w:rPr>
          <w:color w:val="000000"/>
          <w:spacing w:val="0"/>
          <w:w w:val="100"/>
          <w:shd w:fill="auto" w:val="clear"/>
          <w:lang w:val="en-US" w:eastAsia="en-US" w:bidi="en-US"/>
        </w:rPr>
        <w:t>Ebd., „Die Pflichten unterdrückter Minderheiten“, S. 52.</w:t>
      </w:r>
    </w:p>
    <w:p>
      <w:pPr>
        <w:pStyle w:val="Flietext1"/>
        <w:keepNext w:val="false"/>
        <w:keepLines w:val="false"/>
        <w:widowControl w:val="false"/>
        <w:shd w:val="clear" w:color="auto" w:fill="auto"/>
        <w:bidi w:val="0"/>
        <w:spacing w:lineRule="auto" w:line="259" w:before="0" w:after="280"/>
        <w:ind w:left="0" w:right="0" w:firstLine="300"/>
        <w:jc w:val="both"/>
        <w:rPr/>
      </w:pPr>
      <w:r>
        <w:rPr>
          <w:color w:val="000000"/>
          <w:spacing w:val="0"/>
          <w:w w:val="100"/>
          <w:shd w:fill="auto" w:val="clear"/>
          <w:lang w:val="en-US" w:eastAsia="en-US" w:bidi="en-US"/>
        </w:rPr>
        <w:t>Es gibt ein zweites Element der Kontingenz in Walzers Argumentation, eines, das offener und bewusster ist. Da die Bindung direkt an eine Gruppe und nur indirekt (wenn überhaupt) an die Staatsgewalt erfolgt, ergibt sich ein weiteres Problem, ob die Bindung an die Gruppe für oder gegen die Befehle der politischen Autoritäten verpflichtet, und dies muss der Fall sein von jedem Mitglied jeder Gruppe in jedem wichtigen Fall gelöst werden.</w:t>
      </w:r>
    </w:p>
    <w:p>
      <w:pPr>
        <w:pStyle w:val="Flietext1"/>
        <w:keepNext w:val="false"/>
        <w:keepLines w:val="false"/>
        <w:widowControl w:val="false"/>
        <w:shd w:val="clear" w:color="auto" w:fill="auto"/>
        <w:bidi w:val="0"/>
        <w:spacing w:lineRule="auto" w:line="259" w:before="0" w:after="260"/>
        <w:ind w:left="0" w:right="0" w:hanging="0"/>
        <w:jc w:val="both"/>
        <w:rPr/>
      </w:pPr>
      <w:r>
        <w:rPr>
          <w:color w:val="000000"/>
          <w:spacing w:val="0"/>
          <w:w w:val="100"/>
          <w:shd w:fill="auto" w:val="clear"/>
          <w:lang w:val="en-US" w:eastAsia="en-US" w:bidi="en-US"/>
        </w:rPr>
        <w:t>Walzer ist sich dieser Eigenschaft durchaus bewusst; Sein Eröffnungsaufsatz (und möglicherweise sein bester) Essay trägt den Titel „Die Verpflichtung zum Ungehorsam“, und später erklärt er Folgendes:</w:t>
      </w:r>
    </w:p>
    <w:p>
      <w:pPr>
        <w:pStyle w:val="Flietext1"/>
        <w:keepNext w:val="false"/>
        <w:keepLines w:val="false"/>
        <w:widowControl w:val="false"/>
        <w:shd w:val="clear" w:color="auto" w:fill="auto"/>
        <w:bidi w:val="0"/>
        <w:spacing w:before="0" w:after="260"/>
        <w:ind w:left="240" w:right="0" w:firstLine="380"/>
        <w:jc w:val="left"/>
        <w:rPr/>
      </w:pPr>
      <w:r>
        <w:rPr>
          <w:color w:val="000000"/>
          <w:spacing w:val="0"/>
          <w:w w:val="100"/>
          <w:shd w:fill="auto" w:val="clear"/>
          <w:vertAlign w:val="superscript"/>
          <w:lang w:val="en-US" w:eastAsia="en-US" w:bidi="en-US"/>
        </w:rPr>
        <w:t>ein Pluralist ist im Grunde ein Mann mit mehr als einer Verpflichtung, der möglicherweise jederzeit zwischen seinen verschiedenen Verpflichtungen wählen muss. Die Staatsbürgerschaft ist eine seiner Pflichten, aber nur eine.656</w:t>
      </w:r>
    </w:p>
    <w:p>
      <w:pPr>
        <w:pStyle w:val="Flietext1"/>
        <w:keepNext w:val="false"/>
        <w:keepLines w:val="false"/>
        <w:widowControl w:val="false"/>
        <w:shd w:val="clear" w:color="auto" w:fill="auto"/>
        <w:bidi w:val="0"/>
        <w:spacing w:before="0" w:after="0"/>
        <w:ind w:left="0" w:right="0" w:hanging="0"/>
        <w:jc w:val="both"/>
        <w:rPr/>
      </w:pPr>
      <w:r>
        <w:rPr>
          <w:color w:val="000000"/>
          <w:spacing w:val="0"/>
          <w:w w:val="100"/>
          <w:shd w:fill="auto" w:val="clear"/>
          <w:lang w:val="en-US" w:eastAsia="en-US" w:bidi="en-US"/>
        </w:rPr>
        <w:t>Man könnte sogar vermuten, dass die Eröffnung dieser Frage der Grund für Walzers Argumentation ist. Es ist eine Kontingenz, die viel leichter und praktisch auflösbar ist als die der orthodoxen demokratischen Konsenstheorie, die zu einem Konsens führt, der folglich weniger mythisch ist, und daher ein weniger schwerwiegender Vorbehalt gegen das Argument ist.</w:t>
      </w:r>
    </w:p>
    <w:p>
      <w:pPr>
        <w:pStyle w:val="Flietext1"/>
        <w:keepNext w:val="false"/>
        <w:keepLines w:val="false"/>
        <w:widowControl w:val="false"/>
        <w:shd w:val="clear" w:color="auto" w:fill="auto"/>
        <w:bidi w:val="0"/>
        <w:spacing w:before="0" w:after="260"/>
        <w:ind w:left="0" w:right="0" w:firstLine="280"/>
        <w:jc w:val="both"/>
        <w:rPr/>
      </w:pPr>
      <w:r>
        <w:rPr>
          <w:color w:val="000000"/>
          <w:spacing w:val="0"/>
          <w:w w:val="100"/>
          <w:shd w:fill="auto" w:val="clear"/>
          <w:lang w:val="en-US" w:eastAsia="en-US" w:bidi="en-US"/>
        </w:rPr>
        <w:t>Zweitens bleibt die Verlagerung der Aufmerksamkeit vom Inhalt zur Methode explizit. Walzer räumt fröhlich ein, dass „(c)onsent theory eher eine prozedurale als eine substantielle Ethik vorschlägt“657 und dass „(t)die paradigmatische Form der Consent-Theorie einfach ist, ich habe mich verpflichtet (zugestimmt): Ich bin verpflichtet (verpflichtet). “658 Die wichtige Frage ist, ob man sich einer Gruppe verpflichtet hat, und nicht, was eine solche Verpflichtung beinhaltet. Da erwartet werden kann, dass die eigenen Verpflichtungen widersprüchlich sind (da Pluralismus „moralische und politische Konflikte in das politische System einbaut“659), scheint es zu folgen, dass man zwischen solchen widersprüchlichen Verpflichtungen entscheidet, nicht auf der Grundlage des Inhalts der konkurrierenden Ansprüche, sondern danach, wie stark die Bindung an eine bestimmte Gruppe ist. Er gibt zu, dass er der Aussage „gefährlich nahe kommt“, man sei verpflichtet, „nur wenn er sich verpflichtet fühlt oder glaubt“ (wobei er hier von der ultimativen Verpflichtung spricht, nämlich „The Obligation to Die for the State“660), sich aber vor diesem Abgrund zurückzieht darauf zu bestehen, dass Handeln und nicht Fühlen die Grundlage für ein solches Engagement ist.</w:t>
      </w:r>
    </w:p>
    <w:p>
      <w:pPr>
        <w:pStyle w:val="Flietext21"/>
        <w:keepNext w:val="false"/>
        <w:keepLines w:val="false"/>
        <w:widowControl w:val="false"/>
        <w:numPr>
          <w:ilvl w:val="0"/>
          <w:numId w:val="60"/>
        </w:numPr>
        <w:shd w:val="clear" w:color="auto" w:fill="auto"/>
        <w:tabs>
          <w:tab w:val="clear" w:pos="720"/>
          <w:tab w:val="left" w:pos="639" w:leader="none"/>
        </w:tabs>
        <w:bidi w:val="0"/>
        <w:spacing w:lineRule="auto" w:line="240" w:before="0" w:after="0"/>
        <w:ind w:left="0" w:right="0" w:firstLine="240"/>
        <w:jc w:val="left"/>
        <w:rPr/>
      </w:pPr>
      <w:r>
        <w:rPr>
          <w:color w:val="000000"/>
          <w:spacing w:val="0"/>
          <w:w w:val="100"/>
          <w:shd w:fill="auto" w:val="clear"/>
          <w:lang w:val="en-US" w:eastAsia="en-US" w:bidi="en-US"/>
        </w:rPr>
        <w:t>Ebd., „Die Pflichten unterdrückter Minderheiten“, S. 52.</w:t>
      </w:r>
    </w:p>
    <w:p>
      <w:pPr>
        <w:pStyle w:val="Flietext21"/>
        <w:keepNext w:val="false"/>
        <w:keepLines w:val="false"/>
        <w:widowControl w:val="false"/>
        <w:numPr>
          <w:ilvl w:val="0"/>
          <w:numId w:val="60"/>
        </w:numPr>
        <w:shd w:val="clear" w:color="auto" w:fill="auto"/>
        <w:tabs>
          <w:tab w:val="clear" w:pos="720"/>
          <w:tab w:val="left" w:pos="639" w:leader="none"/>
        </w:tabs>
        <w:bidi w:val="0"/>
        <w:spacing w:before="0" w:after="0"/>
        <w:ind w:left="0" w:right="0" w:firstLine="240"/>
        <w:jc w:val="left"/>
        <w:rPr/>
      </w:pPr>
      <w:r>
        <w:rPr>
          <w:color w:val="000000"/>
          <w:spacing w:val="0"/>
          <w:w w:val="100"/>
          <w:shd w:fill="auto" w:val="clear"/>
          <w:lang w:val="en-US" w:eastAsia="en-US" w:bidi="en-US"/>
        </w:rPr>
        <w:t>Ebd., Einleitung, p.x</w:t>
      </w:r>
    </w:p>
    <w:p>
      <w:pPr>
        <w:pStyle w:val="Flietext21"/>
        <w:keepNext w:val="false"/>
        <w:keepLines w:val="false"/>
        <w:widowControl w:val="false"/>
        <w:shd w:val="clear" w:color="auto" w:fill="auto"/>
        <w:bidi w:val="0"/>
        <w:spacing w:lineRule="auto" w:line="196" w:before="0" w:after="200"/>
        <w:ind w:left="0" w:right="0" w:firstLine="240"/>
        <w:jc w:val="left"/>
        <w:rPr/>
      </w:pPr>
      <w:r>
        <w:rPr>
          <w:i/>
          <w:iCs/>
          <w:color w:val="000000"/>
          <w:spacing w:val="0"/>
          <w:w w:val="100"/>
          <w:shd w:fill="auto" w:val="clear"/>
          <w:lang w:val="en-US" w:eastAsia="en-US" w:bidi="en-US"/>
        </w:rPr>
        <w:t>658 Ebd</w:t>
      </w:r>
    </w:p>
    <w:p>
      <w:pPr>
        <w:pStyle w:val="Flietext1"/>
        <w:keepNext w:val="false"/>
        <w:keepLines w:val="false"/>
        <w:widowControl w:val="false"/>
        <w:shd w:val="clear" w:color="auto" w:fill="auto"/>
        <w:bidi w:val="0"/>
        <w:spacing w:before="0" w:after="260"/>
        <w:ind w:left="0" w:right="0" w:firstLine="280"/>
        <w:jc w:val="both"/>
        <w:rPr/>
      </w:pPr>
      <w:r>
        <w:rPr>
          <w:color w:val="000000"/>
          <w:spacing w:val="0"/>
          <w:w w:val="100"/>
          <w:shd w:fill="auto" w:val="clear"/>
          <w:lang w:val="en-US" w:eastAsia="en-US" w:bidi="en-US"/>
        </w:rPr>
        <w:t>Verstärkt wird der Prozess durch Walzers höchst ambivalente Behandlung der Frage, wem gegenüber sich ein Mitglied mit der Mitgliedschaft verpflichtet. Erstens argumentiert er, dass ein Bekenntnis zu Idealen oder Prinzipien ein Bekenntnis zu anderen Menschen einschließt.661 Kurz gesagt verlässt er dies, um zu argumentieren, dass man sich gemeinsam mit anderen einer Idee verpflichtet, und „diese Idee die Kontrolle über ihre zukünftigen Handlungen und Verpflichtungen ausüben muss “662, bevor er noch entschiedener zu seinem Anfangsthema zurückkehrt, indem er argumentiert, dass „die eigentliche Verpflichtung den anderen Mitgliedern obliegt“663, und zwar in einem solchen Ausmaß, dass:</w:t>
      </w:r>
    </w:p>
    <w:p>
      <w:pPr>
        <w:pStyle w:val="Flietext1"/>
        <w:keepNext w:val="false"/>
        <w:keepLines w:val="false"/>
        <w:widowControl w:val="false"/>
        <w:shd w:val="clear" w:color="auto" w:fill="auto"/>
        <w:bidi w:val="0"/>
        <w:spacing w:before="0" w:after="260"/>
        <w:ind w:left="240" w:right="0" w:firstLine="380"/>
        <w:jc w:val="left"/>
        <w:rPr/>
      </w:pPr>
      <w:r>
        <w:rPr>
          <w:color w:val="000000"/>
          <w:spacing w:val="0"/>
          <w:w w:val="100"/>
          <w:shd w:fill="auto" w:val="clear"/>
          <w:vertAlign w:val="superscript"/>
          <w:lang w:val="en-US" w:eastAsia="en-US" w:bidi="en-US"/>
        </w:rPr>
        <w:t>Sobald er jedoch beigetreten ist, sind die Überzeugungen (eines Mannes) nicht mehr so ​​einfach bestimmend für seine Handlungen. Jetzt muss er die Überzeugungen seiner Kameraden berücksichtigen und sich an ihre Entscheidungen halten.664</w:t>
      </w:r>
    </w:p>
    <w:p>
      <w:pPr>
        <w:pStyle w:val="Flietext1"/>
        <w:keepNext w:val="false"/>
        <w:keepLines w:val="false"/>
        <w:widowControl w:val="false"/>
        <w:shd w:val="clear" w:color="auto" w:fill="auto"/>
        <w:bidi w:val="0"/>
        <w:spacing w:before="0" w:after="260"/>
        <w:ind w:left="0" w:right="0" w:firstLine="280"/>
        <w:jc w:val="both"/>
        <w:rPr/>
      </w:pPr>
      <w:r>
        <w:rPr>
          <w:color w:val="000000"/>
          <w:spacing w:val="0"/>
          <w:w w:val="100"/>
          <w:shd w:fill="auto" w:val="clear"/>
          <w:lang w:val="en-US" w:eastAsia="en-US" w:bidi="en-US"/>
        </w:rPr>
        <w:t>Im Sinne des klassischen Modells ist ein solches Problem zweitrangig und sagt uns höchstens, wem ein Mann Unrecht getan haben kann, wenn er das Gesetz missachtet. In Walzers Argumentation sind die Implikationen bedeutsamer und umfassender; Bindung an eine Gruppe scheint ein gewisses Maß an Freibriefbindung an die Mitglieder dieser Gruppe zu implizieren, so dass man zu Handlungen verpflichtet wird, die man nicht vorhergesehen hat und die man nicht billigt.665 Angesichts seiner Ambivalenz in dieser Frage eine Ich kann den Punkt nicht zu stark betonen, aber ein solches Ergebnis scheint in jedem Übergang von der Substanz zum Prozess enthalten zu sein.</w:t>
      </w:r>
    </w:p>
    <w:p>
      <w:pPr>
        <w:pStyle w:val="Flietext21"/>
        <w:keepNext w:val="false"/>
        <w:keepLines w:val="false"/>
        <w:widowControl w:val="false"/>
        <w:numPr>
          <w:ilvl w:val="0"/>
          <w:numId w:val="61"/>
        </w:numPr>
        <w:shd w:val="clear" w:color="auto" w:fill="auto"/>
        <w:tabs>
          <w:tab w:val="clear" w:pos="720"/>
          <w:tab w:val="left" w:pos="671" w:leader="none"/>
        </w:tabs>
        <w:bidi w:val="0"/>
        <w:spacing w:lineRule="auto" w:line="240" w:before="0" w:after="0"/>
        <w:ind w:left="0" w:right="0" w:firstLine="240"/>
        <w:jc w:val="left"/>
        <w:rPr/>
      </w:pPr>
      <w:r>
        <w:rPr>
          <w:color w:val="000000"/>
          <w:spacing w:val="0"/>
          <w:w w:val="100"/>
          <w:shd w:fill="auto" w:val="clear"/>
          <w:lang w:val="en-US" w:eastAsia="en-US" w:bidi="en-US"/>
        </w:rPr>
        <w:t>Ebenda, "Das Problem der Staatsbürgerschaft", S.220</w:t>
      </w:r>
    </w:p>
    <w:p>
      <w:pPr>
        <w:pStyle w:val="Flietext21"/>
        <w:keepNext w:val="false"/>
        <w:keepLines w:val="false"/>
        <w:widowControl w:val="false"/>
        <w:numPr>
          <w:ilvl w:val="0"/>
          <w:numId w:val="61"/>
        </w:numPr>
        <w:shd w:val="clear" w:color="auto" w:fill="auto"/>
        <w:tabs>
          <w:tab w:val="clear" w:pos="720"/>
          <w:tab w:val="left" w:pos="671" w:leader="none"/>
        </w:tabs>
        <w:bidi w:val="0"/>
        <w:spacing w:lineRule="auto" w:line="208" w:before="0" w:after="0"/>
        <w:ind w:left="0" w:right="0" w:firstLine="240"/>
        <w:jc w:val="left"/>
        <w:rPr/>
      </w:pPr>
      <w:r>
        <w:rPr>
          <w:color w:val="000000"/>
          <w:spacing w:val="0"/>
          <w:w w:val="100"/>
          <w:shd w:fill="auto" w:val="clear"/>
          <w:lang w:val="en-US" w:eastAsia="en-US" w:bidi="en-US"/>
        </w:rPr>
        <w:t>Ebenda, S. 98.</w:t>
      </w:r>
    </w:p>
    <w:p>
      <w:pPr>
        <w:pStyle w:val="Flietext21"/>
        <w:keepNext w:val="false"/>
        <w:keepLines w:val="false"/>
        <w:widowControl w:val="false"/>
        <w:numPr>
          <w:ilvl w:val="0"/>
          <w:numId w:val="61"/>
        </w:numPr>
        <w:shd w:val="clear" w:color="auto" w:fill="auto"/>
        <w:tabs>
          <w:tab w:val="clear" w:pos="720"/>
          <w:tab w:val="left" w:pos="671" w:leader="none"/>
        </w:tabs>
        <w:bidi w:val="0"/>
        <w:spacing w:lineRule="auto" w:line="240" w:before="0" w:after="0"/>
        <w:ind w:left="0" w:right="0" w:firstLine="240"/>
        <w:jc w:val="left"/>
        <w:rPr/>
      </w:pPr>
      <w:r>
        <w:rPr>
          <w:color w:val="000000"/>
          <w:spacing w:val="0"/>
          <w:w w:val="100"/>
          <w:shd w:fill="auto" w:val="clear"/>
          <w:lang w:val="en-US" w:eastAsia="en-US" w:bidi="en-US"/>
        </w:rPr>
        <w:t>Ebenda, „Die Verpflichtung zum Ungehorsam“, S. 5.</w:t>
      </w:r>
    </w:p>
    <w:p>
      <w:pPr>
        <w:pStyle w:val="Flietext21"/>
        <w:keepNext w:val="false"/>
        <w:keepLines w:val="false"/>
        <w:widowControl w:val="false"/>
        <w:numPr>
          <w:ilvl w:val="0"/>
          <w:numId w:val="61"/>
        </w:numPr>
        <w:shd w:val="clear" w:color="auto" w:fill="auto"/>
        <w:tabs>
          <w:tab w:val="clear" w:pos="720"/>
          <w:tab w:val="left" w:pos="671" w:leader="none"/>
        </w:tabs>
        <w:bidi w:val="0"/>
        <w:spacing w:lineRule="auto" w:line="220" w:before="0" w:after="0"/>
        <w:ind w:left="0" w:right="0" w:firstLine="240"/>
        <w:jc w:val="left"/>
        <w:rPr/>
      </w:pPr>
      <w:r>
        <w:rPr>
          <w:color w:val="000000"/>
          <w:spacing w:val="0"/>
          <w:w w:val="100"/>
          <w:shd w:fill="auto" w:val="clear"/>
          <w:lang w:val="en-US" w:eastAsia="en-US" w:bidi="en-US"/>
        </w:rPr>
        <w:t>Ebenda, „Die Verpflichtung, für den Staat zu leben“, S. 181.</w:t>
      </w:r>
    </w:p>
    <w:p>
      <w:pPr>
        <w:pStyle w:val="Flietext21"/>
        <w:keepNext w:val="false"/>
        <w:keepLines w:val="false"/>
        <w:widowControl w:val="false"/>
        <w:numPr>
          <w:ilvl w:val="0"/>
          <w:numId w:val="61"/>
        </w:numPr>
        <w:shd w:val="clear" w:color="auto" w:fill="auto"/>
        <w:tabs>
          <w:tab w:val="clear" w:pos="720"/>
          <w:tab w:val="left" w:pos="671" w:leader="none"/>
        </w:tabs>
        <w:bidi w:val="0"/>
        <w:spacing w:before="0" w:after="0"/>
        <w:ind w:left="0" w:right="0" w:firstLine="240"/>
        <w:jc w:val="left"/>
        <w:rPr/>
      </w:pPr>
      <w:r>
        <w:rPr>
          <w:color w:val="000000"/>
          <w:spacing w:val="0"/>
          <w:w w:val="100"/>
          <w:shd w:fill="auto" w:val="clear"/>
          <w:lang w:val="en-US" w:eastAsia="en-US" w:bidi="en-US"/>
        </w:rPr>
        <w:t>Ebenda, „Politische Solidarität und persönliche Ehre“, S. 192.</w:t>
      </w:r>
    </w:p>
    <w:p>
      <w:pPr>
        <w:pStyle w:val="Flietext21"/>
        <w:keepNext w:val="false"/>
        <w:keepLines w:val="false"/>
        <w:widowControl w:val="false"/>
        <w:numPr>
          <w:ilvl w:val="0"/>
          <w:numId w:val="61"/>
        </w:numPr>
        <w:shd w:val="clear" w:color="auto" w:fill="auto"/>
        <w:tabs>
          <w:tab w:val="clear" w:pos="720"/>
          <w:tab w:val="left" w:pos="671" w:leader="none"/>
        </w:tabs>
        <w:bidi w:val="0"/>
        <w:spacing w:lineRule="auto" w:line="220" w:before="0" w:after="200"/>
        <w:ind w:left="0" w:right="0" w:firstLine="240"/>
        <w:jc w:val="left"/>
        <w:rPr/>
      </w:pPr>
      <w:r>
        <w:rPr>
          <w:color w:val="000000"/>
          <w:spacing w:val="0"/>
          <w:w w:val="100"/>
          <w:shd w:fill="auto" w:val="clear"/>
          <w:lang w:val="en-US" w:eastAsia="en-US" w:bidi="en-US"/>
        </w:rPr>
        <w:t>Ebenda, Hervorhebung hinzugefügt</w:t>
      </w:r>
    </w:p>
    <w:p>
      <w:pPr>
        <w:pStyle w:val="Flietext1"/>
        <w:keepNext w:val="false"/>
        <w:keepLines w:val="false"/>
        <w:widowControl w:val="false"/>
        <w:shd w:val="clear" w:color="auto" w:fill="auto"/>
        <w:bidi w:val="0"/>
        <w:spacing w:before="0" w:after="260"/>
        <w:ind w:left="0" w:right="0" w:firstLine="280"/>
        <w:jc w:val="both"/>
        <w:rPr/>
      </w:pPr>
      <w:r>
        <w:rPr>
          <w:color w:val="000000"/>
          <w:spacing w:val="0"/>
          <w:w w:val="100"/>
          <w:shd w:fill="auto" w:val="clear"/>
          <w:lang w:val="en-US" w:eastAsia="en-US" w:bidi="en-US"/>
        </w:rPr>
        <w:t>Drittens feiert der liberale Mythos vom autonomen Mann ein starkes Comeback. Für die orthodoxe Theorie des demokratischen Konsenses reicht es aus, darauf hinzuweisen, dass das durchschnittliche Individuum vernünftigerweise als ausreichend freier moralischer Akteur angesehen werden kann, um sich durch den freiwilligen Akt der Abstimmung zu verpflichten, jenseits dessen die Härten der Sozialisation eingeräumt werden können; Ein so starkes Maß an Determinismus anzunehmen, dass dies ausgeschlossen wird, bedeutet praktisch, den moralischen Diskurs vollständig abzuschneiden. Für Walzer sind jedoch weitaus umfangreichere Forderungen notwendig; die Person, um die es geht, ist jemand, der sich dafür entscheidet, Mitglied zu werden, und wenn die Mitgliedschaft immer eine Frage der Wahl ist, dann muss es etwas geben, das diese Wahl trifft. Wie er kompromisslos erklärt:</w:t>
      </w:r>
    </w:p>
    <w:p>
      <w:pPr>
        <w:pStyle w:val="Flietext1"/>
        <w:keepNext w:val="false"/>
        <w:keepLines w:val="false"/>
        <w:widowControl w:val="false"/>
        <w:shd w:val="clear" w:color="auto" w:fill="auto"/>
        <w:bidi w:val="0"/>
        <w:spacing w:lineRule="auto" w:line="252" w:before="0" w:after="260"/>
        <w:ind w:left="240" w:right="0" w:firstLine="380"/>
        <w:jc w:val="left"/>
        <w:rPr/>
      </w:pPr>
      <w:r>
        <w:rPr>
          <w:color w:val="000000"/>
          <w:spacing w:val="0"/>
          <w:w w:val="100"/>
          <w:shd w:fill="auto" w:val="clear"/>
          <w:vertAlign w:val="superscript"/>
          <w:lang w:val="en-US" w:eastAsia="en-US" w:bidi="en-US"/>
        </w:rPr>
        <w:t>Eine Theorie der Zustimmung und Verpflichtung muss eine Sichtweise des zustimmenden Selbst enthalten; die Person, die die Verpflichtung eingeht und trägt, muss und bleibt eine bestimmte Person, ein autonomer und verantwortlicher Mann oder eine Frau.666</w:t>
      </w:r>
    </w:p>
    <w:p>
      <w:pPr>
        <w:pStyle w:val="Flietext1"/>
        <w:keepNext w:val="false"/>
        <w:keepLines w:val="false"/>
        <w:widowControl w:val="false"/>
        <w:shd w:val="clear" w:color="auto" w:fill="auto"/>
        <w:bidi w:val="0"/>
        <w:spacing w:before="0" w:after="240"/>
        <w:ind w:left="0" w:right="0" w:hanging="0"/>
        <w:jc w:val="both"/>
        <w:rPr/>
      </w:pPr>
      <w:r>
        <w:rPr>
          <w:color w:val="000000"/>
          <w:spacing w:val="0"/>
          <w:w w:val="100"/>
          <w:shd w:fill="auto" w:val="clear"/>
          <w:lang w:val="en-US" w:eastAsia="en-US" w:bidi="en-US"/>
        </w:rPr>
        <w:t>Mit anderen Worten, die Konsenstheorie wird erneut mit dem Problem der Sozialisation konfrontiert. Angesichts der Tatsache, dass Gruppen oft wesentliche Teile unseres Seins prägen, ist es fraglich, inwieweit wir die Mitgliedschaft in einer solchen Gruppe als freie und freiwillige Handlung mit Zustimmung ansehen können. Wir müssen einen unsozialisierten und unsozialisierbaren Kern postulieren, der der wirkliche Mensch ist und der sich durch freiwillige Mitgliedschaft verpflichtet. Da ethnische und rassische Identifikationen ausdrücklich als Beispiele für die in einer pluralistischen Gesellschaft vorhandenen multiplen Mitgliedschaften identifiziert werden667 und die Klassenposition eher vage als eine andere suggeriert wird668, scheint das Sozialisationsproblem besonders akut zu sein. Im Einklang mit dieser Unbestimmtheit, auch wenn er darauf besteht, dass nur eine vorsätzliche Mitgliedschaft jemanden begehen kann, sieht er nichts Falsches darin, als Beispiel für eine vorsätzliche Mitgliedschaft „nichts weiter als eine fortgesetzte Mitgliedschaft nach einem bestimmten Alter“ anzuführen Zustimmung. Vielleicht ist er sich des Ausmaßes bewusst, in dem er dadurch jede sinnvolle Zustimmung untergraben hat, und zieht sich auf eine stärkere und haltbarere Position zurück, indem er argumentiert, dass „Gruppen, die bei ihren Mitgliedern kein Bewusstsein für die Zwecke und Aktivitäten fördern, für die sie sich engagieren können, dies nicht können begehen sie.“670 Dies scheint jedoch nur weitere Probleme zu schaffen, auf die er nicht näher eingeht: erstens verpflichtet nicht jede Mitgliedschaft, sondern nur bestimmte Arten der Mitgliedschaft in bestimmten Arten von Gruppen, woraus folgt; Zweitens können wir die Verpflichtungen eines Mannes nicht einfach durch Beobachtung seiner Handlungen erfahren (wie Walzer eingangs anregt671), sondern müssen jetzt in seine Psyche schauen. (Der Wechsel von einer bewussten Mitgliedschaft zu Gruppen, die das Bewusstsein fördern, ist an sich merkwürdig; ist es der Fall, dass die unbewusste Mitgliedschaft in einer Gruppe, die das Bewusstsein fördert, festlegt, oder dass die bewusste Mitgliedschaft in einer Gruppe, die das Bewusstsein nicht fördert, festlegt; das heißt, ist es die Natur von a spezifische individuelle Zugehörigkeit oder eine bestimmte Gruppe, die entscheidend ist?Die Frage ist nicht trivial, aber die Antwort ist unklar, an verschiedenen Stellen schlagen seine Schriften unterschiedliche Antworten vor. )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21"/>
        <w:keepNext w:val="false"/>
        <w:keepLines w:val="false"/>
        <w:widowControl w:val="false"/>
        <w:numPr>
          <w:ilvl w:val="0"/>
          <w:numId w:val="61"/>
        </w:numPr>
        <w:shd w:val="clear" w:color="auto" w:fill="auto"/>
        <w:tabs>
          <w:tab w:val="clear" w:pos="720"/>
          <w:tab w:val="left" w:pos="639" w:leader="none"/>
        </w:tabs>
        <w:bidi w:val="0"/>
        <w:spacing w:lineRule="auto" w:line="240" w:before="0" w:after="0"/>
        <w:ind w:left="0" w:right="0" w:firstLine="240"/>
        <w:jc w:val="left"/>
        <w:rPr/>
      </w:pPr>
      <w:r>
        <w:rPr>
          <w:color w:val="000000"/>
          <w:spacing w:val="0"/>
          <w:w w:val="100"/>
          <w:shd w:fill="auto" w:val="clear"/>
          <w:lang w:val="en-US" w:eastAsia="en-US" w:bidi="en-US"/>
        </w:rPr>
        <w:t>Ebenda, „Politische Solidarität und persönliche Ehre“, passim und besonders p. 192.</w:t>
      </w:r>
    </w:p>
    <w:p>
      <w:pPr>
        <w:pStyle w:val="Flietext21"/>
        <w:keepNext w:val="false"/>
        <w:keepLines w:val="false"/>
        <w:widowControl w:val="false"/>
        <w:numPr>
          <w:ilvl w:val="0"/>
          <w:numId w:val="61"/>
        </w:numPr>
        <w:shd w:val="clear" w:color="auto" w:fill="auto"/>
        <w:tabs>
          <w:tab w:val="clear" w:pos="720"/>
          <w:tab w:val="left" w:pos="639" w:leader="none"/>
        </w:tabs>
        <w:bidi w:val="0"/>
        <w:spacing w:lineRule="auto" w:line="220" w:before="0" w:after="240"/>
        <w:ind w:left="0" w:right="0" w:firstLine="240"/>
        <w:jc w:val="left"/>
        <w:rPr/>
      </w:pPr>
      <w:r>
        <w:rPr>
          <w:color w:val="000000"/>
          <w:spacing w:val="0"/>
          <w:w w:val="100"/>
          <w:shd w:fill="auto" w:val="clear"/>
          <w:lang w:val="en-US" w:eastAsia="en-US" w:bidi="en-US"/>
        </w:rPr>
        <w:t>Ebenda, „Politische Solidarität und persönliche Ehre“, S. 193-194.</w:t>
      </w:r>
    </w:p>
    <w:p>
      <w:pPr>
        <w:pStyle w:val="Flietext1"/>
        <w:keepNext w:val="false"/>
        <w:keepLines w:val="false"/>
        <w:widowControl w:val="false"/>
        <w:shd w:val="clear" w:color="auto" w:fill="auto"/>
        <w:bidi w:val="0"/>
        <w:spacing w:before="0" w:after="260"/>
        <w:ind w:left="0" w:right="0" w:firstLine="280"/>
        <w:jc w:val="both"/>
        <w:rPr/>
      </w:pPr>
      <w:r>
        <w:rPr>
          <w:color w:val="000000"/>
          <w:spacing w:val="0"/>
          <w:w w:val="100"/>
          <w:shd w:fill="auto" w:val="clear"/>
          <w:lang w:val="en-US" w:eastAsia="en-US" w:bidi="en-US"/>
        </w:rPr>
        <w:t>Viertens zeigt Walzer, selbst wenn er regelmäßig auf Zustimmung durch willentliche und bewusste Mitgliedschaft besteht, eine beunruhigende Tendenz, sich auf die viel schwächere Form der Zustimmungstheorie zurückzuziehen; wie Sokrates und Rawls ist er bereit, Zustimmung auf den Erhalt von Vorteilen innerhalb eines Systems zu stützen und mit Dankbarkeitspflichten zu argumentieren. Besonders ausgeprägt ist diese Tendenz in den Aufsätzen „Ziviler Ungehorsam und Unternehmensautorität“, „Die Verpflichtung unterdrückter Minderheiten“ und „Politische Entfremdung und Wehrdienst“. Der aufschlussreiche Punkt ist, dass in all diesen Fällen der Begriff „Nutzen“ wiederholt und prominent in wichtigen Teilen seiner Argumentation vorkommt. Er findet es „eine vernünftige Doktrin“, dass „die Annahme von Vorteilen, selbst wenn ihre Ablehnung solch extreme Handlungsweisen oder einen hermetischen Rückzug erfordern würde, ... eine unausgesprochene Vereinbarung beinhaltet, die Bedingungen aufrechtzuerhalten, die die Vorteile ermöglichen. .. .“568 Von einer aktiven und frei gegebenen Einwilligung zum passiven Leistungsbezug als Grundlage der Verpflichtung überzugehen, ist kein kleiner Rückzug, sondern eine totale Kapitulation, so dass die Beibehaltung der Rubrik Einwilligungstheorie fraglich wird. (Andererseits, wenn er bereit ist anzudeuten, dass sogar stillschweigende Zustimmung Bewusstsein beinhaltet,569 ist dies vielleicht weniger ein Rückzug, als es scheint; aber wenn wir zwischen bewusstem und unbewusstem – und möglicherweise sogar vorsätzlichem und unfreiwilligem – Empfang unterscheiden sollen Vorteile, das Unterfangen wird wirklich entmutigend.)</w:t>
      </w:r>
    </w:p>
    <w:p>
      <w:pPr>
        <w:pStyle w:val="Flietext21"/>
        <w:keepNext w:val="false"/>
        <w:keepLines w:val="false"/>
        <w:widowControl w:val="false"/>
        <w:numPr>
          <w:ilvl w:val="0"/>
          <w:numId w:val="61"/>
        </w:numPr>
        <w:shd w:val="clear" w:color="auto" w:fill="auto"/>
        <w:tabs>
          <w:tab w:val="clear" w:pos="720"/>
          <w:tab w:val="left" w:pos="645" w:leader="none"/>
        </w:tabs>
        <w:bidi w:val="0"/>
        <w:spacing w:lineRule="auto" w:line="240" w:before="0" w:after="0"/>
        <w:ind w:left="0" w:right="0" w:firstLine="260"/>
        <w:jc w:val="left"/>
        <w:rPr/>
      </w:pPr>
      <w:r>
        <w:rPr>
          <w:color w:val="000000"/>
          <w:spacing w:val="0"/>
          <w:w w:val="100"/>
          <w:shd w:fill="auto" w:val="clear"/>
          <w:lang w:val="en-US" w:eastAsia="en-US" w:bidi="en-US"/>
        </w:rPr>
        <w:t>Ebenda, „Das Problem der Staatsbürgerschaft“, S. 223.</w:t>
      </w:r>
    </w:p>
    <w:p>
      <w:pPr>
        <w:pStyle w:val="Flietext21"/>
        <w:keepNext w:val="false"/>
        <w:keepLines w:val="false"/>
        <w:widowControl w:val="false"/>
        <w:numPr>
          <w:ilvl w:val="0"/>
          <w:numId w:val="61"/>
        </w:numPr>
        <w:shd w:val="clear" w:color="auto" w:fill="auto"/>
        <w:tabs>
          <w:tab w:val="clear" w:pos="720"/>
          <w:tab w:val="left" w:pos="650" w:leader="none"/>
        </w:tabs>
        <w:bidi w:val="0"/>
        <w:spacing w:lineRule="auto" w:line="196" w:before="0" w:after="0"/>
        <w:ind w:left="0" w:right="0" w:firstLine="260"/>
        <w:jc w:val="left"/>
        <w:rPr/>
      </w:pPr>
      <w:r>
        <w:rPr>
          <w:i/>
          <w:iCs/>
          <w:color w:val="000000"/>
          <w:spacing w:val="0"/>
          <w:w w:val="100"/>
          <w:shd w:fill="auto" w:val="clear"/>
          <w:lang w:val="en-US" w:eastAsia="en-US" w:bidi="en-US"/>
        </w:rPr>
        <w:t>Ebenda.</w:t>
      </w:r>
    </w:p>
    <w:p>
      <w:pPr>
        <w:pStyle w:val="Flietext21"/>
        <w:keepNext w:val="false"/>
        <w:keepLines w:val="false"/>
        <w:widowControl w:val="false"/>
        <w:numPr>
          <w:ilvl w:val="0"/>
          <w:numId w:val="61"/>
        </w:numPr>
        <w:shd w:val="clear" w:color="auto" w:fill="auto"/>
        <w:tabs>
          <w:tab w:val="clear" w:pos="720"/>
          <w:tab w:val="left" w:pos="650" w:leader="none"/>
        </w:tabs>
        <w:bidi w:val="0"/>
        <w:spacing w:lineRule="auto" w:line="240" w:before="0" w:after="0"/>
        <w:ind w:left="0" w:right="0" w:firstLine="260"/>
        <w:jc w:val="left"/>
        <w:rPr/>
      </w:pPr>
      <w:r>
        <w:rPr>
          <w:color w:val="000000"/>
          <w:spacing w:val="0"/>
          <w:w w:val="100"/>
          <w:shd w:fill="auto" w:val="clear"/>
          <w:lang w:val="en-US" w:eastAsia="en-US" w:bidi="en-US"/>
        </w:rPr>
        <w:t>Ebenda, „Die Verpflichtung zum Ungehorsam“, S. 7.</w:t>
      </w:r>
    </w:p>
    <w:p>
      <w:pPr>
        <w:pStyle w:val="Flietext21"/>
        <w:keepNext w:val="false"/>
        <w:keepLines w:val="false"/>
        <w:widowControl w:val="false"/>
        <w:numPr>
          <w:ilvl w:val="0"/>
          <w:numId w:val="61"/>
        </w:numPr>
        <w:shd w:val="clear" w:color="auto" w:fill="auto"/>
        <w:tabs>
          <w:tab w:val="clear" w:pos="720"/>
          <w:tab w:val="left" w:pos="650" w:leader="none"/>
        </w:tabs>
        <w:bidi w:val="0"/>
        <w:spacing w:lineRule="auto" w:line="220" w:before="0" w:after="0"/>
        <w:ind w:left="0" w:right="0" w:firstLine="260"/>
        <w:jc w:val="both"/>
        <w:rPr/>
      </w:pPr>
      <w:r>
        <w:rPr>
          <w:color w:val="000000"/>
          <w:spacing w:val="0"/>
          <w:w w:val="100"/>
          <w:shd w:fill="auto" w:val="clear"/>
          <w:lang w:val="en-US" w:eastAsia="en-US" w:bidi="en-US"/>
        </w:rPr>
        <w:t>Ebenda, „Die Verpflichtung zum Ungehorsam“, S. 21. fi71</w:t>
      </w:r>
    </w:p>
    <w:p>
      <w:pPr>
        <w:pStyle w:val="Flietext21"/>
        <w:keepNext w:val="false"/>
        <w:keepLines w:val="false"/>
        <w:widowControl w:val="false"/>
        <w:numPr>
          <w:ilvl w:val="0"/>
          <w:numId w:val="61"/>
        </w:numPr>
        <w:shd w:val="clear" w:color="auto" w:fill="auto"/>
        <w:tabs>
          <w:tab w:val="clear" w:pos="720"/>
          <w:tab w:val="left" w:pos="650" w:leader="none"/>
        </w:tabs>
        <w:bidi w:val="0"/>
        <w:spacing w:before="0" w:after="200"/>
        <w:ind w:left="0" w:right="0" w:firstLine="260"/>
        <w:jc w:val="left"/>
        <w:rPr/>
      </w:pPr>
      <w:r>
        <w:rPr>
          <w:color w:val="000000"/>
          <w:spacing w:val="0"/>
          <w:w w:val="100"/>
          <w:shd w:fill="auto" w:val="clear"/>
          <w:lang w:val="en-US" w:eastAsia="en-US" w:bidi="en-US"/>
        </w:rPr>
        <w:t>Ebenda, Einleitung, S. X.</w:t>
      </w:r>
    </w:p>
    <w:p>
      <w:pPr>
        <w:pStyle w:val="Flietext1"/>
        <w:keepNext w:val="false"/>
        <w:keepLines w:val="false"/>
        <w:widowControl w:val="false"/>
        <w:shd w:val="clear" w:color="auto" w:fill="auto"/>
        <w:bidi w:val="0"/>
        <w:spacing w:before="0" w:after="240"/>
        <w:ind w:left="0" w:right="0" w:firstLine="260"/>
        <w:jc w:val="both"/>
        <w:rPr/>
      </w:pPr>
      <w:r>
        <w:rPr>
          <w:color w:val="000000"/>
          <w:spacing w:val="0"/>
          <w:w w:val="100"/>
          <w:shd w:fill="auto" w:val="clear"/>
          <w:lang w:val="en-US" w:eastAsia="en-US" w:bidi="en-US"/>
        </w:rPr>
        <w:t>Walzer ist nicht einfach ein Beispiel für den orthodoxen Umgang mit Einwilligungen; Er ist auch nicht einfach ein Beispiel für die Theorie des demokratischen Konsenses. Sein Ansatz zur Einwilligung durch freiwillige Gruppenmitgliedschaft ist eine Abkehr von beidem. Er bleibt jedoch unter den meisten Anklagepunkten gegen die Theorie des demokratischen Konsenses anklagbar; wieder haben wir eine freiwillige Zustimmung mit willkürlichem Inhalt, die so erteilt wird, dass der Schwerpunkt auf dem Prozess über dem Inhalt liegt und ein erhebliches Maß an Kontingenz beinhaltet. Das Minderheitenproblem wird vermieden, wenn auch auf Kosten der Darstellung einer pluralistischen Gesellschaft, die möglicherweise von solchen Spannungen ohne legitime Lösung geplagt wird, die sich praktisch selbst liquidieren, aber Walzer ersetzt es durch ein Trio ähnlich schwieriger Probleme: Welche Art von Mitgliedschaft? was für eine gruppe? Welche Art von Körperschaft wird Mitglied? In Bezug auf die Unterscheidung zwischen dem orthodoxen Syllogismus und dem des unterstellten Vertrags ist Walzer lediglich eine Variation des voluntaristischen Themas.</w:t>
      </w:r>
    </w:p>
    <w:p>
      <w:pPr>
        <w:sectPr>
          <w:footerReference w:type="even" r:id="rId33"/>
          <w:footerReference w:type="default" r:id="rId34"/>
          <w:type w:val="nextPage"/>
          <w:pgSz w:w="12240" w:h="15840"/>
          <w:pgMar w:left="1486" w:right="1485" w:gutter="0" w:header="0" w:top="1428" w:footer="852" w:bottom="1280"/>
          <w:pgNumType w:fmt="decimal"/>
          <w:formProt w:val="false"/>
          <w:textDirection w:val="lrTb"/>
          <w:docGrid w:type="default" w:linePitch="360" w:charSpace="0"/>
        </w:sect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Walzer in solchen Begriffen zu diskutieren, bedeutet nicht, dass er eine uninteressante Variante ist; ganz im Gegenteil. Konsens über die Gruppenmitgliedschaft anzugehen und zu argumentieren, dass es verschiedene Arten von Staatsbürgerschaft mit unterschiedlichem Grad an Verpflichtung gibt568, bedeutet sowohl nützliche als auch vielversprechende Innovationen vorzuschlagen, obwohl es durchaus sein kann, dass die Entwicklung solcher Themen eine Auseinandersetzung viel weniger erfordert individualistischer als dass sich Walzer zum Champion gedrängt fühlt. In der Tat, wenn die Konsenstheorie gezwungen ist, auf einen willkürlichen voluntaristischen Konsens zurückzugreifen und sich somit von einer substanziellen zu einer Verfahrensethik und von allgemeinen Menschen zu persönlichen Geschichten zu wenden, dann ist Walzers Ansatz viel vielversprechender als ein Großteil der demokratischen Konsenstheorie. Der springende Punkt bei der Entwicklung des unterstellten Vertragsmodells ist jedoch, die Notwendigkeit eines solchen Rückzugs zu hinterfragen.</w:t>
      </w:r>
    </w:p>
    <w:p>
      <w:pPr>
        <w:pStyle w:val="Berschrift11"/>
        <w:keepNext w:val="true"/>
        <w:keepLines/>
        <w:widowControl w:val="false"/>
        <w:shd w:val="clear" w:color="auto" w:fill="auto"/>
        <w:bidi w:val="0"/>
        <w:spacing w:lineRule="auto" w:line="240" w:before="0" w:after="0"/>
        <w:ind w:left="0" w:right="0" w:hanging="0"/>
        <w:jc w:val="center"/>
        <w:rPr/>
      </w:pPr>
      <w:bookmarkStart w:id="47" w:name="bookmark57"/>
      <w:bookmarkStart w:id="48" w:name="bookmark56"/>
      <w:r>
        <w:rPr>
          <w:spacing w:val="0"/>
          <w:w w:val="100"/>
          <w:shd w:fill="auto" w:val="clear"/>
          <w:lang w:val="en-US" w:eastAsia="en-US" w:bidi="en-US"/>
        </w:rPr>
        <w:t>Anhang II</w:t>
      </w:r>
      <w:bookmarkEnd w:id="47"/>
      <w:bookmarkEnd w:id="48"/>
    </w:p>
    <w:p>
      <w:pPr>
        <w:pStyle w:val="Flietext71"/>
        <w:keepNext w:val="false"/>
        <w:keepLines w:val="false"/>
        <w:widowControl w:val="false"/>
        <w:shd w:val="clear" w:color="auto" w:fill="auto"/>
        <w:bidi w:val="0"/>
        <w:spacing w:lineRule="auto" w:line="240" w:before="0" w:after="440"/>
        <w:ind w:left="0" w:right="0" w:hanging="0"/>
        <w:jc w:val="center"/>
        <w:rPr/>
      </w:pPr>
      <w:hyperlink w:anchor="bookmark18" w:tgtFrame="Current Document">
        <w:bookmarkStart w:id="49" w:name="bookmark58"/>
        <w:bookmarkStart w:id="50" w:name="bookmark59"/>
        <w:r>
          <w:rPr>
            <w:spacing w:val="0"/>
            <w:w w:val="100"/>
            <w:shd w:fill="auto" w:val="clear"/>
            <w:lang w:val="en-US" w:eastAsia="en-US" w:bidi="en-US"/>
          </w:rPr>
          <w:t>Sokrates und Vertrag</w:t>
        </w:r>
      </w:hyperlink>
      <w:bookmarkEnd w:id="49"/>
      <w:bookmarkEnd w:id="50"/>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Da es allgemein üblich ist, das antike Griechenland als den Vorhang für die westliche Philosophie zu heben, ist es kaum radikal zu behaupten, dass in den philosophischen Schriften der damaligen Zeit einige der Themen zu finden sind, die in der laufenden Diskussion über politische Verpflichtung wiederkehren. Dies ist so, obwohl das Thema der griechischen Philosophie nicht „politische Verpflichtung“ oder ein ähnliches modernes Konzept ist, sondern „Tugend“, ein viel umfassenderer Begriff; und obwohl sich die griechische Gesellschaft drastisch von der modernen Gesellschaft unterschied, indem sie Annahmen machte, die heute als verworfen oder widerlegt galten, Konzepte verwendeten, die jetzt fast bis zur Unkenntlichkeit verfeinert wurden, und keine Unterscheidungen trafen, die jetzt als grundlegend gelten. Zu sagen, dass griechische Ideen nur mit großer Vorsicht auf zeitgenössische Argumente angewendet werden können, bedeutet jedoch nicht, dass sie irrelevant sind.</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Insbesondere der Kriton von Sokrates enthält einen Prototyp für eine bestimmte Spielart der Vertragstheorie. Der zentrale Grund, den Sokrates dafür angibt, seiner Todeszelle nicht zu entkommen, ist die Verpflichtung, sich an „gerechte Vereinbarungen“ zu halten, und zwar an gerechte Vereinbarungen zwischen ihm und dem Staat. Er besteht darauf, dass die implizite Vereinbarung zwischen ihm und der Polis nicht darin bestand, dass er sich an die Entscheidungen der Polis halten sollte, wann immer er ihnen zustimmte, sondern dass er sich an alle Entscheidungen des Staates halten sollte. Die Annahme einer solchen Vereinbarung, so argumentiert er, wurde durch sein Versäumnis, nach Erreichen des Erwachsenenalters zu gehen, angezeigt (ein frühes Beispiel für das ewige Argument, das auf der Option „Liebe es oder lass es“ der Auswanderung basiert) und er fühlt, dass dies in seinem Fall der Fall ist Dieses Argument ist umso aussagekräftiger, als er Athen nie verlassen hat, nicht einmal für einen Urlaub, außer um zur Verteidigung der Stadt in den Krieg zu ziehen, und dass er außerdem die Option, Exil als alternative Bestrafung vorzuschlagen, nicht in Anspruch genommen hat.</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Die Entwicklung dieses Arguments scheint ziemlich gestreckt, sogar schmerzhaft. Um die Idee zu untermauern, dass die Gesetze seine Eltern sind, kann er nichts Besseres tun, als darauf hinzuweisen, dass seine Eltern in Übereinstimmung mit dem athenischen Ehegesetz geheiratet haben, und er hat keine Einwände gegen das athenische Ehegesetz; das ist kaum überzeugend. Viel zufriedenstellender ist die von Dr. Fred Rosen675 vorgeschlagene Interpretation, nämlich dass der Kriton ein Dialog über Dankbarkeit ist.</w:t>
      </w:r>
    </w:p>
    <w:p>
      <w:pPr>
        <w:pStyle w:val="Flietext1"/>
        <w:keepNext w:val="false"/>
        <w:keepLines w:val="false"/>
        <w:widowControl w:val="false"/>
        <w:shd w:val="clear" w:color="auto" w:fill="auto"/>
        <w:bidi w:val="0"/>
        <w:spacing w:before="0" w:after="0"/>
        <w:ind w:left="0" w:right="0" w:firstLine="300"/>
        <w:jc w:val="both"/>
        <w:rPr/>
      </w:pPr>
      <w:r>
        <w:rPr>
          <w:color w:val="000000"/>
          <w:spacing w:val="0"/>
          <w:w w:val="100"/>
          <w:shd w:fill="auto" w:val="clear"/>
          <w:lang w:val="en-US" w:eastAsia="en-US" w:bidi="en-US"/>
        </w:rPr>
        <w:t>Es ist Dr. Rosens Vorschlag, dass die Wohltäterbeziehung für die Griechen wichtig war und dass sie gegenseitige Verpflichtungen implizierte. Kriton kassiert implizit eine ihm von Sokrates geschuldete Dankbarkeitsverpflichtung ab, und Sokrates kontert diesen Anspruch, indem er den Staat in noch größerem Maße als Wohltäter darstellt. Der Kriton geschuldeten Dankpflicht begegnet Sokrates mit einer noch größeren Dankbarkeit gegenüber dem Staat, indem er Kritons Anspruch mit einem größeren Anspruch auf gleichem Niveau und in gleichen Begriffen (wie Übertrumpfen) beantwortet. Nach dieser Interpretation ist die Bezugnahme auf die Eltern und damit auf die Gottlosigkeit der Anwendung von Gewalt gegen den Staat (die selbst ein Spiegelbild der Tatsache ist, dass im griechischen Wertesystem der Vatermord das höchste aller Verbrechen war) nur rhetorischer Overkill. Sicherlich ist es viel befriedigender, sich auf eine Beziehung zu beziehen, die innerhalb der griechischen Kultur als wichtig erachtet wird, als einen so offensichtlich kulturgebundenen Begriff wie „Vertrag“ zu verwenden.</w:t>
      </w:r>
    </w:p>
    <w:p>
      <w:pPr>
        <w:pStyle w:val="Flietext1"/>
        <w:keepNext w:val="false"/>
        <w:keepLines w:val="false"/>
        <w:widowControl w:val="false"/>
        <w:shd w:val="clear" w:color="auto" w:fill="auto"/>
        <w:bidi w:val="0"/>
        <w:spacing w:before="0" w:after="260"/>
        <w:ind w:left="0" w:right="0" w:firstLine="300"/>
        <w:jc w:val="both"/>
        <w:rPr/>
      </w:pPr>
      <w:r>
        <w:rPr>
          <w:color w:val="000000"/>
          <w:spacing w:val="0"/>
          <w:w w:val="100"/>
          <w:shd w:fill="auto" w:val="clear"/>
          <w:lang w:val="en-US" w:eastAsia="en-US" w:bidi="en-US"/>
        </w:rPr>
        <w:t>Rosen schlägt vor, dass die Interpretation der Verpflichtungsbeziehung Krito für die Aufnahme in Argumente und Artikel über Verpflichtung und Gesellschaftsvertrag ungeeignet macht. Es ist richtig (und wurde im Hauptteil der Arbeit argumentiert), dass das Schuldverhältnis nur in einem tangentialen Verhältnis zum Zustimmungsverhältnis steht und dass der passive Vorteilsempfang von der aktiven Zustimmungserteilung weit genug entfernt ist, um die Angleichung zu ermöglichen beide zu einer einzigen Kategorie höchst zweifelhaft. Insoweit ist die Forderung von Rosen vollumfänglich berechtigt. Gleichzeitig scheint es jedoch eine wiederkehrende Versuchung von Vertragstheoretikern zu sein, die Schwierigkeiten haben, eine aktive Zustimmung zu demonstrieren, anstatt auf ein Argument des passiven Leistungsbezugs zurückzugreifen. Rawls und Walzer sind typische Beispiele. Obwohl die Angemessenheit eines Arguments, das einen solchen Rückzug beinhaltet, sehr zweifelhaft ist, kann niemand seinen Stammbaum anzweifeln.</w:t>
      </w:r>
    </w:p>
    <w:p>
      <w:pPr>
        <w:pStyle w:val="Flietext21"/>
        <w:keepNext w:val="false"/>
        <w:keepLines w:val="false"/>
        <w:widowControl w:val="false"/>
        <w:numPr>
          <w:ilvl w:val="0"/>
          <w:numId w:val="62"/>
        </w:numPr>
        <w:shd w:val="clear" w:color="auto" w:fill="auto"/>
        <w:tabs>
          <w:tab w:val="clear" w:pos="720"/>
          <w:tab w:val="left" w:pos="625" w:leader="none"/>
        </w:tabs>
        <w:bidi w:val="0"/>
        <w:spacing w:lineRule="auto" w:line="213" w:before="0" w:after="200"/>
        <w:ind w:left="0" w:right="0" w:firstLine="300"/>
        <w:jc w:val="both"/>
        <w:rPr/>
      </w:pPr>
      <w:r>
        <w:rPr>
          <w:i/>
          <w:iCs/>
          <w:color w:val="000000"/>
          <w:spacing w:val="0"/>
          <w:w w:val="100"/>
          <w:shd w:fill="auto" w:val="clear"/>
          <w:lang w:val="en-US" w:eastAsia="en-US" w:bidi="en-US"/>
        </w:rPr>
        <w:t>Frederick Rosen, „Verpflichtung und Freundschaft in Platons Kriton“, in POLITISCHE THEORIE, Bd. 1 Nr. 3 (August 1973), passim.</w:t>
      </w:r>
    </w:p>
    <w:p>
      <w:pPr>
        <w:pStyle w:val="Flietext1"/>
        <w:keepNext w:val="false"/>
        <w:keepLines w:val="false"/>
        <w:widowControl w:val="false"/>
        <w:shd w:val="clear" w:color="auto" w:fill="auto"/>
        <w:bidi w:val="0"/>
        <w:spacing w:before="0" w:after="0"/>
        <w:ind w:left="0" w:right="0" w:firstLine="300"/>
        <w:jc w:val="both"/>
        <w:rPr/>
      </w:pPr>
      <w:r>
        <w:rPr>
          <w:color w:val="000000"/>
          <w:spacing w:val="0"/>
          <w:w w:val="100"/>
          <w:shd w:fill="auto" w:val="clear"/>
          <w:lang w:val="en-US" w:eastAsia="en-US" w:bidi="en-US"/>
        </w:rPr>
        <w:t>Das Auffälligste an der „gerechten Einigung“ zwischen Sokrates und dem Staat ist, dass sie sehr einseitig erscheint. Es ist bezeichnend, dass Sokrates in demselben Dialog, in dem er sein Verhältnis zum Staat und das Elternverhältnis vergleicht, ausdrücklich auf jegliche Verpflichtung gegenüber seinen Söhnen verzichtet und solche Pflichten nur als unreflektierte Meinung der Masse abtut. Dem Staat sagt Sokrates, dass er uneingeschränkten Gehorsam schuldet – was auch immer der Staat befehlen mag. Es gibt keine Einschränkungen, keine Schranken für die Verpflichtung gegenüber dem Staat; es ist vollständig und offen. Die einzige Alternative zum Gehorsam gegenüber dem Staat besteht darin, ihn davon zu überzeugen, dass er sich irrt oder ungerecht ist, wenn er einen Befehl gibt. Das Beharren auf Überredung als legitime Alternative zum Gehorsam ist vielleicht eine Hommage an die athenische Demokratie. Seine Formulierung legt nahe, dass die Überzeugung nach dem Befehl erfolgt, also nicht in der Versammlung, die er selbst vermieden hat, sondern im athenischen Geschworenensystem.</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Die Darstellung der politischen Gehorsamspflicht als abhängig von einer gangbaren Alternative der Überzeugung ist eine Methode, um demokratische Pflicht zu argumentieren, der einige der offensichtlicheren Mängel der üblichen Vorgehensweisen fehlen. Es ist nicht so, dass es einen allgemeinen Willen gibt oder dass Dissidenten ignoriert werden können, wenn sie in der Minderheit sind, sondern dass der Dissident irgendwann die Möglichkeit hat, von einer Jury gehört zu werden, die nicht nur eine juristische Formel anwendet, sondern abwägt den Fall und die Person nach ihren Verdiensten.</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Selbst wenn man davon ausgeht, dass es eine „gerechte Vereinbarung“ oder eine Wohltäterbeziehung zwischen Staat und Bürger gibt, warum besteht Sokrates so darauf, dass es sich um eine unbefristete uneingeschränkte Verpflichtung seitens des Bürgers handelt? Die Behauptung, dass die Flucht aus dem Staat bedeutet, alles in seiner Macht stehende zu tun, um den Staat zu stürzen, ist nicht nur ein schlechtes Beispiel für das Argument der Verallgemeinerung, sondern offenkundig (fast hysterisch) übertrieben – wenn Sokrates wirklich keine für den Staat schädlichere Maßnahme einfällt als sich mitten in der Nacht davonzuschleichen, dann muss seine Vorstellungskraft einzigartig mangelhaft sein. Aber diese Einwände treffen nicht den Kern. Er besteht darauf, dass seine Vereinbarung mit dem Staat darin bestand, dass er allen Entscheidungen folgen würde; die Tatsache, dass er in diesem Fall falsch beurteilt wurde (und er selbst aus Argumentationsgründen nie etwas anderes zugibt), ist im strengsten Sinne irrelevant, denn die implizite „gerechte Vereinbarung“ enthält keine Ausweichklausel für Entscheidungen, die er als ungerecht erachten könnte. Der Gerechte tut kein Unrecht, auch nicht als Gegenleistung für Unrecht, weil der Gerechte dadurch, dass er gerecht ist, andere nicht weniger gerecht machen kann. Aus einer stillschweigenden Übereinkunft folgt, dass Ungehorsam ungerecht ist, und die Unzulässigkeit selbst von Vergeltungsmaßnahmen wird in seiner allgemeineren Formulierung explizit. Da man nicht ein bisschen ungerecht sein kann (ebenso wie man ein bisschen schwanger sein kann), sind sich mitten in der Nacht davonzuschleichen und alles in seiner Macht Stehende zu tun, um die Gesetze zu untergraben, sind identische Handlungen in der einzigen wichtigen Überlegung, dass beides ungerecht ist handelt.</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Auf den ersten Blick erscheint es nicht unangemessen zu behaupten, dass man nicht verpflichtet ist, sich an eine offensichtlich ungerechte Entscheidung zu halten – zu behaupten, dass (wie der Slogan von Black Panther es ausdrückte) Gerechtigkeit über dem Gesetz steht und (implizit) gelegentlich gegen das Gesetz verstößt Gesetz. Wenn imaginäre Vereinbarungen das Verfahren sind, dem wir folgen müssen, können wir genauso gut eines annehmen, das zwischen Ungehorsam auf der Grundlage von Launen und Ungehorsam auf der Grundlage von Grundsätzen unterscheidet. Aber Sokrates weigert sich, einen solchen Vorschlag zu erwägen. Die beste Erklärung dafür scheint die griechische Vorstellung von der Polis als der absoluten Voraussetzung für das zivilisierte Leben zu sein. Die Grundlage des Staates, erklärt Sokrates in Republic, ist der Mangel an Selbstgenügsamkeit eines jeden Individuums. Wäre das Leben lebenswert, fragt er Kriton, abseits von geordneten Staaten und zivilisierten Menschen – die Frage ist rhetorisch, und die Verknüpfung beider ist bedeutsam. Ungehorsam gegenüber dem Staat ist eine Untergrabung des Staates, und ohne den Staat ist ein gutes Leben unmöglich. Doch obwohl er die Polis als Voraussetzung des guten Lebens akzeptiert und implizit die athenische Demokratie lobt (zumindest im Prinzip, wenn nicht in der tatsächlichen Ausführung), scheint Sokrates dieses gute Leben nicht als einen anhaltenden politischen Inhalt zu begreifen. Er macht viel aus der Tatsache, dass er selbst nie an der Versammlung teilgenommen hat, und seine Art war es, zu seinen Mitbürgern „wie ein Vater oder älterer Bruder“ zu sprechen und sie aufzufordern, Tugend und Vortrefflichkeit zu suchen. Die Voraussetzungen für ein gutes Leben sind politisch, aber das Streben nach Exzellenz ist von Natur aus privat.</w:t>
      </w:r>
    </w:p>
    <w:p>
      <w:pPr>
        <w:pStyle w:val="Flietext1"/>
        <w:keepNext w:val="false"/>
        <w:keepLines w:val="false"/>
        <w:widowControl w:val="false"/>
        <w:shd w:val="clear" w:color="auto" w:fill="auto"/>
        <w:bidi w:val="0"/>
        <w:spacing w:before="0" w:after="280"/>
        <w:ind w:left="0" w:right="0" w:firstLine="320"/>
        <w:jc w:val="both"/>
        <w:rPr/>
      </w:pPr>
      <w:r>
        <w:rPr>
          <w:color w:val="000000"/>
          <w:spacing w:val="0"/>
          <w:w w:val="100"/>
          <w:shd w:fill="auto" w:val="clear"/>
          <w:lang w:val="en-US" w:eastAsia="en-US" w:bidi="en-US"/>
        </w:rPr>
        <w:t>Es gibt jedoch einen grundlegenden Widerspruch innerhalb der sokratischen Position, wie sie in Apologie und Kriton dargestellt wird, nämlich der zwischen dem uneingeschränkten Gehorsam Kritons und der Weigerung der Apologie, auch nur ein hypothetisches Freiheitsangebot unter der Bedingung in Betracht zu ziehen, dass er seine Befragungstätigkeit beendet. Wenn das Staatskommando so bedingungslos bindet, warum leistet er sich dann den Luxus dieser Weigerung? Warum ist der Staat (im Sinne einer reinen Verfahrensethik) berechtigt, ihm das Leben zu nehmen, aber nicht, ihm die Stimme zu verbieten? Möglicherweise lautet die Antwort, dass die Zuständigkeit des Staates nicht unbegrenzt ist, dass die politische Verpflichtung der religiösen Verpflichtung untergeordnet ist. Dass diese Ansicht nicht ganz so antipolitisch ist, wie es auf den ersten Blick scheint – das heißt, dass die religiöse Verpflichtung in gewissem Sinne ein Teil der politischen Verpflichtung war – wird durch Levis Beobachtung impliziert, dass:</w:t>
      </w:r>
    </w:p>
    <w:p>
      <w:pPr>
        <w:pStyle w:val="Flietext1"/>
        <w:keepNext w:val="false"/>
        <w:keepLines w:val="false"/>
        <w:widowControl w:val="false"/>
        <w:shd w:val="clear" w:color="auto" w:fill="auto"/>
        <w:tabs>
          <w:tab w:val="clear" w:pos="720"/>
          <w:tab w:val="left" w:pos="3378" w:leader="dot"/>
        </w:tabs>
        <w:bidi w:val="0"/>
        <w:spacing w:lineRule="auto" w:line="252" w:before="0" w:after="0"/>
        <w:ind w:left="320" w:right="0" w:firstLine="300"/>
        <w:jc w:val="left"/>
        <w:rPr/>
      </w:pPr>
      <w:r>
        <w:rPr>
          <w:color w:val="000000"/>
          <w:spacing w:val="0"/>
          <w:w w:val="100"/>
          <w:shd w:fill="auto" w:val="clear"/>
          <w:vertAlign w:val="superscript"/>
          <w:lang w:val="en-US" w:eastAsia="en-US" w:bidi="en-US"/>
        </w:rPr>
        <w:t>Die griechische Stadt war in der Tat einfach das gemeinsame Zuhause einer Gruppe von Griechen, die sich bereit erklärt hatten, ihr eigenes Leben nach Gesetzen zu organisieren, die nicht im Widerspruch zu den allgemeinen Grundsätzen ihrer Religion und damit der Moral der Lebensweise standen die Religion auferlegt. Alles andere war unwesentlich 676</w:t>
      </w:r>
    </w:p>
    <w:p>
      <w:pPr>
        <w:pStyle w:val="Flietext1"/>
        <w:keepNext w:val="false"/>
        <w:keepLines w:val="false"/>
        <w:widowControl w:val="false"/>
        <w:shd w:val="clear" w:color="auto" w:fill="auto"/>
        <w:bidi w:val="0"/>
        <w:spacing w:before="0" w:after="0"/>
        <w:ind w:left="0" w:right="0" w:hanging="0"/>
        <w:jc w:val="both"/>
        <w:rPr/>
      </w:pPr>
      <w:r>
        <w:rPr>
          <w:color w:val="000000"/>
          <w:spacing w:val="0"/>
          <w:w w:val="100"/>
          <w:shd w:fill="auto" w:val="clear"/>
          <w:lang w:val="en-US" w:eastAsia="en-US" w:bidi="en-US"/>
        </w:rPr>
        <w:t>Die Verflechtung von politischer und religiöser Verpflichtung in der griechischen Kultur zeigt sich auch darin, dass Sokrates unter anderem vorgeworfen wird, nicht an die Götter zu glauben, an die der Staat glaubt; das heißt, eine Anklage wegen religiöser Unorthodoxie. Sokrates ist bereit, sich in seiner Tätigkeit, alle Menschen zu befragen, dem Gesetz zu widersetzen, weil er einen direkten Befehl vom Orakel, von dem Gott oder den Göttern, erhalten hat, diese Tätigkeit auszuüben; er wird den Befehl bezüglich seiner Verurteilung zum Tode nicht missachten, weil er keinen solchen direkten Befehl hat. (Man könnte denken, dass letzteres durch ersteres impliziert wird, wenn auch nur darin, dass der Tod der endgültige Schalldämpfer ist, aber Sokrates zieht diese Schlussfolgerung nicht.)</w:t>
      </w:r>
    </w:p>
    <w:p>
      <w:pPr>
        <w:pStyle w:val="Flietext1"/>
        <w:keepNext w:val="false"/>
        <w:keepLines w:val="false"/>
        <w:widowControl w:val="false"/>
        <w:shd w:val="clear" w:color="auto" w:fill="auto"/>
        <w:bidi w:val="0"/>
        <w:spacing w:before="0" w:after="280"/>
        <w:ind w:left="0" w:right="0" w:firstLine="300"/>
        <w:jc w:val="both"/>
        <w:rPr/>
      </w:pPr>
      <w:r>
        <w:rPr>
          <w:color w:val="000000"/>
          <w:spacing w:val="0"/>
          <w:w w:val="100"/>
          <w:shd w:fill="auto" w:val="clear"/>
          <w:lang w:val="en-US" w:eastAsia="en-US" w:bidi="en-US"/>
        </w:rPr>
        <w:t>Die religiöse Verpflichtung geht zumindest teilweise der politischen Verpflichtung vor; für Sokrates scheint das Problem nicht weiter zu gehen, aber seine religiöse Verpflichtung nimmt zwei potenziell widersprüchliche Formen an. Da ist zunächst die Aussage des Orakels; Zweitens gibt es den göttlichen Führer, die „innere Stimme“, die er seit seiner Kindheit hat. Für Sokrates sind diese beiden dasselbe; er sagt:</w:t>
      </w:r>
    </w:p>
    <w:p>
      <w:pPr>
        <w:pStyle w:val="Flietext1"/>
        <w:keepNext w:val="false"/>
        <w:keepLines w:val="false"/>
        <w:widowControl w:val="false"/>
        <w:shd w:val="clear" w:color="auto" w:fill="auto"/>
        <w:bidi w:val="0"/>
        <w:spacing w:before="0" w:after="280"/>
        <w:ind w:left="240" w:right="0" w:firstLine="380"/>
        <w:jc w:val="left"/>
        <w:rPr/>
      </w:pPr>
      <w:r>
        <w:rPr>
          <w:color w:val="000000"/>
          <w:spacing w:val="0"/>
          <w:w w:val="100"/>
          <w:shd w:fill="auto" w:val="clear"/>
          <w:lang w:val="en-US" w:eastAsia="en-US" w:bidi="en-US"/>
        </w:rPr>
        <w:t>Der Gott hat mir befohlen, die Menschen zu untersuchen, in Orakeln und Träumen und auf jede Weise, in der der göttliche Wille jemals erklärt wurde.</w:t>
      </w:r>
    </w:p>
    <w:p>
      <w:pPr>
        <w:pStyle w:val="Flietext21"/>
        <w:keepNext w:val="false"/>
        <w:keepLines w:val="false"/>
        <w:widowControl w:val="false"/>
        <w:numPr>
          <w:ilvl w:val="0"/>
          <w:numId w:val="62"/>
        </w:numPr>
        <w:shd w:val="clear" w:color="auto" w:fill="auto"/>
        <w:tabs>
          <w:tab w:val="clear" w:pos="720"/>
          <w:tab w:val="left" w:pos="625" w:leader="none"/>
        </w:tabs>
        <w:bidi w:val="0"/>
        <w:spacing w:lineRule="auto" w:line="213" w:before="0" w:after="200"/>
        <w:ind w:left="0" w:right="0" w:firstLine="300"/>
        <w:jc w:val="both"/>
        <w:rPr/>
      </w:pPr>
      <w:r>
        <w:rPr>
          <w:color w:val="000000"/>
          <w:spacing w:val="0"/>
          <w:w w:val="100"/>
          <w:shd w:fill="auto" w:val="clear"/>
          <w:lang w:val="en-US" w:eastAsia="en-US" w:bidi="en-US"/>
        </w:rPr>
        <w:t>Mario Attilio Levi, Politische Macht in der Antike, übers. von J. Costello, (London: Weidenfeld &amp; Nicholson, 1965), S. 48.</w:t>
      </w:r>
    </w:p>
    <w:p>
      <w:pPr>
        <w:pStyle w:val="Flietext1"/>
        <w:keepNext w:val="false"/>
        <w:keepLines w:val="false"/>
        <w:widowControl w:val="false"/>
        <w:shd w:val="clear" w:color="auto" w:fill="auto"/>
        <w:bidi w:val="0"/>
        <w:spacing w:before="0" w:after="280"/>
        <w:ind w:left="0" w:right="0" w:firstLine="300"/>
        <w:jc w:val="both"/>
        <w:rPr/>
      </w:pPr>
      <w:r>
        <w:rPr>
          <w:color w:val="000000"/>
          <w:spacing w:val="0"/>
          <w:w w:val="100"/>
          <w:shd w:fill="auto" w:val="clear"/>
          <w:lang w:val="en-US" w:eastAsia="en-US" w:bidi="en-US"/>
        </w:rPr>
        <w:t>Die beiden Ansprüche sind jedoch von Natur aus unterschiedlich und radikal verschieden. Der Verweis auf das Orakel ist ein Appell an die konventionelle Religion, an eine öffentliche und objektiv nachprüfbare Quelle; das Orakel und die religiöse Tradition bildeten einen der kulturellen Faktoren, die das politisch zersplitterte Hellas verbanden. Die Aussage des Orakels ist eine offene öffentliche Verkündigung. Eine solche Behauptung ist derjenigen in Antigone von Natur aus ähnlich, wo die Protagonistin behauptet, eine Schwester habe die Pflicht, einen toten Bruder zu begraben, eine Behauptung, die überprüfbar ist, weil die Tradition ihrem Wesen nach öffentlich ist und geteilt wird. Im Fall von Antigone ist das Problem noch verworrener als das von Sokrates, denn Kleon kann sein Handeln auch mit Verweis auf die Tradition rechtfertigen (d. h. auf die Tradition, dass jemandem, der die Waffen gegen seine Polis erhebt, das Begräbnisrecht auf der Erde verweigert wird dieser Polis), und Antigones Erhebung familiärer Verpflichtungen über politische ist nicht ohne tiefgreifende politische Untertöne. Auch das Ende des Stückes löst das Problem nicht wirklich; Cleon wird weniger wegen seiner ursprünglichen Entscheidung bestraft, als weil ihn seine persönliche Reaktion auf diesen Trotz, die größtenteils auf Stolz beruht, in Richtung Tyrannei getrieben hat.677 Das Problem religiöser versus politischer Verpflichtung wird in Apology deutlicher als in Antigone aufgeworfen einer öffentlichen Quelle religiöser Verpflichtung: Orakel und Sitte.</w:t>
      </w:r>
    </w:p>
    <w:p>
      <w:pPr>
        <w:pStyle w:val="Flietext21"/>
        <w:keepNext w:val="false"/>
        <w:keepLines w:val="false"/>
        <w:widowControl w:val="false"/>
        <w:numPr>
          <w:ilvl w:val="0"/>
          <w:numId w:val="62"/>
        </w:numPr>
        <w:shd w:val="clear" w:color="auto" w:fill="auto"/>
        <w:tabs>
          <w:tab w:val="clear" w:pos="720"/>
          <w:tab w:val="left" w:pos="625" w:leader="none"/>
        </w:tabs>
        <w:bidi w:val="0"/>
        <w:spacing w:lineRule="auto" w:line="213" w:before="0" w:after="0"/>
        <w:ind w:left="0" w:right="0" w:firstLine="280"/>
        <w:jc w:val="both"/>
        <w:rPr/>
      </w:pPr>
      <w:r>
        <w:rPr>
          <w:color w:val="000000"/>
          <w:spacing w:val="0"/>
          <w:w w:val="100"/>
          <w:shd w:fill="auto" w:val="clear"/>
          <w:lang w:val="en-US" w:eastAsia="en-US" w:bidi="en-US"/>
        </w:rPr>
        <w:t>vgl. Bernard MW Knox, The Heroic Temper: Studies in Sophoclean Tragedy (Berkely und Los Angeles: University of California Press, 1966), Kap. III &amp; IV.</w:t>
      </w:r>
    </w:p>
    <w:p>
      <w:pPr>
        <w:pStyle w:val="Flietext21"/>
        <w:keepNext w:val="false"/>
        <w:keepLines w:val="false"/>
        <w:widowControl w:val="false"/>
        <w:numPr>
          <w:ilvl w:val="0"/>
          <w:numId w:val="62"/>
        </w:numPr>
        <w:shd w:val="clear" w:color="auto" w:fill="auto"/>
        <w:tabs>
          <w:tab w:val="clear" w:pos="720"/>
          <w:tab w:val="left" w:pos="625" w:leader="none"/>
        </w:tabs>
        <w:bidi w:val="0"/>
        <w:spacing w:lineRule="auto" w:line="225" w:before="0" w:after="200"/>
        <w:ind w:left="0" w:right="0" w:firstLine="280"/>
        <w:jc w:val="both"/>
        <w:rPr/>
      </w:pPr>
      <w:r>
        <w:rPr>
          <w:color w:val="000000"/>
          <w:spacing w:val="0"/>
          <w:w w:val="100"/>
          <w:shd w:fill="auto" w:val="clear"/>
          <w:lang w:val="en-US" w:eastAsia="en-US" w:bidi="en-US"/>
        </w:rPr>
        <w:t>vgl. Walzer, Obligations: Essays on Disobedience, War and Citizenship, insb. den Aufsatz über „Kriegsdienstverweigerung“ für eine sehr nützliche Diskussion dieses Konzepts des Gewissens; wie Walzer deutlich macht, ist dies freilich nicht die einzig mögliche Gewissenskonzeption und auch nicht die von ihm favorisierte.</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Ganz anders ist die Anziehungskraft auf die innere Stimme, so sehr Sokrates sie im Wesentlichen als dasselbe angesehen haben mag. Ein solcher Appell ist radikal anders, weil die innere Stimme von Natur aus privat, nicht geteilt und nicht geteilt werden kann.678 Ihre Behauptungen sind unbeantwortbar und ergebnisoffen. James Mengel, einer der Baltimore Four, der in ein Büro des Selective Service einbrach und Blut über die Akten goss, als er gefragt wurde: „Wer hat Ihnen befohlen, Blut auf diese Akten zu gießen?“ entgegnete: „Gott hat es mir gesagt, und das sind Peanuts im Vergleich zu dem, was er mir als Nächstes sagen wird.“679 Die private Natur der Kommunikation, die unöffentliche Natur der inneren Stimme schließen jede Möglichkeit der Objektivität bei der genauen Beurteilung der Behauptung aus weil es von allen öffentlichen Erscheinungen wie der Tradition oder dem griechischen Orakel abgeschnitten ist.</w:t>
      </w:r>
    </w:p>
    <w:p>
      <w:pPr>
        <w:pStyle w:val="Flietext1"/>
        <w:keepNext w:val="false"/>
        <w:keepLines w:val="false"/>
        <w:widowControl w:val="false"/>
        <w:shd w:val="clear" w:color="auto" w:fill="auto"/>
        <w:bidi w:val="0"/>
        <w:spacing w:before="0" w:after="0"/>
        <w:ind w:left="0" w:right="0" w:firstLine="280"/>
        <w:jc w:val="both"/>
        <w:rPr/>
      </w:pPr>
      <w:r>
        <w:rPr>
          <w:color w:val="000000"/>
          <w:spacing w:val="0"/>
          <w:w w:val="100"/>
          <w:shd w:fill="auto" w:val="clear"/>
          <w:lang w:val="en-US" w:eastAsia="en-US" w:bidi="en-US"/>
        </w:rPr>
        <w:t>Sogar in der sokratischen Darstellung dieser inneren Stimme gibt es Hinweise auf das, was man die gefährliche Lehre vom unverantwortlichen Gewissen nennen könnte; das heißt, die Behauptung, dass das Gewissen über der Vernunft steht und sich vollständig selbst rechtfertigt. Sokrates behauptet dies nicht, sondern macht nur einen Rückzieher; das Beispiel, das er für die Arbeit seines göttlichen Führers gibt, ist seine Anweisung, nicht an politischen Versammlungen teilzunehmen, und fügt hinzu, dass es gut daran getan hat, ihm dies zu raten, weil das Leben der Politik zu gefährlich ist. Aber er kann dies nur dann als vernünftige Rechtfertigung vorschlagen, wenn er seine unmittelbar vorangegangene Grundsatzerklärung aufgibt, dass der gute Mensch durch jeden Gedanken an persönlichen Schaden oder Tod nicht abgeschreckt wird und nur das Gute sucht; umgekehrt, wenn die Vermeidung von Gefahren ein ausreichender moralischer Grund zum Handeln ist, dann sollte er bereit sein, seine Befragung aufzugeben, um sein Leben zu retten. Wenn sein „Führer“ seiner begründeten Überzeugung widerspricht, folgt er dem göttlichen Führer und überdeckt den Widerspruch durch transparente Rationalisierung. Das Gewissen ist von Natur aus in sich geschlossen; darüber hinaus gibt es keinen Appell, weder an die Vernunft noch an die religiöse Tradition. Es ist im strengsten Sinne des Wortes unverantwortlich.</w:t>
      </w:r>
    </w:p>
    <w:p>
      <w:pPr>
        <w:pStyle w:val="Flietext1"/>
        <w:keepNext w:val="false"/>
        <w:keepLines w:val="false"/>
        <w:widowControl w:val="false"/>
        <w:shd w:val="clear" w:color="auto" w:fill="auto"/>
        <w:bidi w:val="0"/>
        <w:spacing w:before="0" w:after="280"/>
        <w:ind w:left="0" w:right="0" w:firstLine="300"/>
        <w:jc w:val="both"/>
        <w:rPr/>
      </w:pPr>
      <w:r>
        <w:rPr>
          <w:color w:val="000000"/>
          <w:spacing w:val="0"/>
          <w:w w:val="100"/>
          <w:shd w:fill="auto" w:val="clear"/>
          <w:lang w:val="en-US" w:eastAsia="en-US" w:bidi="en-US"/>
        </w:rPr>
        <w:t>Diese Themen – impliziter Vertrag, religiöse Verpflichtung, Primat des Gewissens – sind wiederkehrende Elemente in der Geschichte der Versuche, das Problem der politischen Verpflichtung zu behandeln. Doch obwohl sowohl Sophokles als auch Sokrates das Problem der politischen Verpflichtung aufwerfen und das Bild kollidierender Verpflichtungen zeichnen, löst es keiner von beiden. Sokrates kann angesichts des Konflikts nur die religiöse Verpflichtung in der Apologie und die politische Verpflichtung in der Krito geltend machen, indem er bereit ist, den Ungehorsam in der ersteren zu rechtfertigen, aber in der zweiten den Tod akzeptiert. Sophokles stellt sich in dieselbe Ecke, indem er die traditionellen Verpflichtungen von Antigone gegen die legitimen Forderungen der Polis ausspielt und so gut abwägt, dass die Bestrafung von Cleon nur durch das Deux-ex-machina-Gerät gerechtfertigt werden kann, zu dem er persönlich gereizt wird Tyrannei und Hybris. In beiden Fällen lähmt der Hintergrund der überragenden Notwendigkeit der Polis und der düsteren Folgen ihrer Subversion die Debatte und verhindert eine endgültige Lösung.</w:t>
      </w:r>
    </w:p>
    <w:p>
      <w:pPr>
        <w:pStyle w:val="Flietext21"/>
        <w:keepNext w:val="false"/>
        <w:keepLines w:val="false"/>
        <w:widowControl w:val="false"/>
        <w:numPr>
          <w:ilvl w:val="0"/>
          <w:numId w:val="62"/>
        </w:numPr>
        <w:shd w:val="clear" w:color="auto" w:fill="auto"/>
        <w:tabs>
          <w:tab w:val="clear" w:pos="720"/>
          <w:tab w:val="left" w:pos="625" w:leader="none"/>
        </w:tabs>
        <w:bidi w:val="0"/>
        <w:spacing w:lineRule="auto" w:line="216" w:before="0" w:after="200"/>
        <w:ind w:left="0" w:right="0" w:firstLine="300"/>
        <w:jc w:val="both"/>
        <w:rPr/>
      </w:pPr>
      <w:r>
        <w:rPr>
          <w:color w:val="000000"/>
          <w:spacing w:val="0"/>
          <w:w w:val="100"/>
          <w:shd w:fill="auto" w:val="clear"/>
          <w:lang w:val="en-US" w:eastAsia="en-US" w:bidi="en-US"/>
        </w:rPr>
        <w:t>Francine du Plessix Gray, Divine Disobedience: Profiles in Catholic Radicalism (London: Hamish Hamilton, 1970), p. 113.</w:t>
      </w:r>
    </w:p>
    <w:p>
      <w:pPr>
        <w:sectPr>
          <w:footerReference w:type="even" r:id="rId35"/>
          <w:footerReference w:type="default" r:id="rId36"/>
          <w:type w:val="nextPage"/>
          <w:pgSz w:w="12240" w:h="15840"/>
          <w:pgMar w:left="1488" w:right="1488" w:gutter="0" w:header="0" w:top="1433" w:footer="901" w:bottom="1329"/>
          <w:pgNumType w:fmt="decimal"/>
          <w:formProt w:val="false"/>
          <w:textDirection w:val="lrTb"/>
          <w:docGrid w:type="default" w:linePitch="360" w:charSpace="0"/>
        </w:sectPr>
        <w:pStyle w:val="Flietext1"/>
        <w:keepNext w:val="false"/>
        <w:keepLines w:val="false"/>
        <w:widowControl w:val="false"/>
        <w:shd w:val="clear" w:color="auto" w:fill="auto"/>
        <w:bidi w:val="0"/>
        <w:spacing w:before="0" w:after="240"/>
        <w:ind w:left="0" w:right="0" w:firstLine="300"/>
        <w:jc w:val="both"/>
        <w:rPr/>
      </w:pPr>
      <w:r>
        <w:rPr>
          <w:color w:val="000000"/>
          <w:spacing w:val="0"/>
          <w:w w:val="100"/>
          <w:shd w:fill="auto" w:val="clear"/>
          <w:lang w:val="en-US" w:eastAsia="en-US" w:bidi="en-US"/>
        </w:rPr>
        <w:t>Wenn diese These ein Versuch ist, zwischen dem voluntaristischen Gesellschaftsvertrag und dem unterstellten Modell zu unterscheiden, legt das Argument des Kriton von Sokrates eine dritte Kategorie nahe, die des „stillschweigenden“ Gesellschaftsvertrags, der auf dem Bezug von Leistungen basiert. Insofern alle drei Elemente sehr wohl Teil der Tradition zu sein scheinen, deckt das allgemeine Etikett des Kontraktarismus eine größere Vielfalt an Argumenten ab, als viele Behandlungen anzunehmen scheinen.</w:t>
      </w:r>
    </w:p>
    <w:p>
      <w:pPr>
        <w:pStyle w:val="Berschrift11"/>
        <w:keepNext w:val="true"/>
        <w:keepLines/>
        <w:widowControl w:val="false"/>
        <w:shd w:val="clear" w:color="auto" w:fill="auto"/>
        <w:bidi w:val="0"/>
        <w:spacing w:lineRule="auto" w:line="240" w:before="0" w:after="0"/>
        <w:ind w:left="0" w:right="0" w:hanging="0"/>
        <w:jc w:val="center"/>
        <w:rPr/>
      </w:pPr>
      <w:bookmarkStart w:id="51" w:name="bookmark61"/>
      <w:bookmarkStart w:id="52" w:name="bookmark60"/>
      <w:r>
        <w:rPr>
          <w:spacing w:val="0"/>
          <w:w w:val="100"/>
          <w:shd w:fill="auto" w:val="clear"/>
          <w:lang w:val="en-US" w:eastAsia="en-US" w:bidi="en-US"/>
        </w:rPr>
        <w:t>Anhang III</w:t>
      </w:r>
      <w:bookmarkEnd w:id="51"/>
      <w:bookmarkEnd w:id="52"/>
    </w:p>
    <w:p>
      <w:pPr>
        <w:pStyle w:val="Flietext71"/>
        <w:keepNext w:val="false"/>
        <w:keepLines w:val="false"/>
        <w:widowControl w:val="false"/>
        <w:shd w:val="clear" w:color="auto" w:fill="auto"/>
        <w:bidi w:val="0"/>
        <w:spacing w:lineRule="auto" w:line="240" w:before="0" w:after="380"/>
        <w:ind w:left="0" w:right="0" w:hanging="0"/>
        <w:jc w:val="center"/>
        <w:rPr/>
      </w:pPr>
      <w:bookmarkStart w:id="53" w:name="bookmark62"/>
      <w:bookmarkStart w:id="54" w:name="bookmark63"/>
      <w:r>
        <w:rPr>
          <w:spacing w:val="0"/>
          <w:w w:val="100"/>
          <w:shd w:fill="auto" w:val="clear"/>
          <w:lang w:val="en-US" w:eastAsia="en-US" w:bidi="en-US"/>
        </w:rPr>
        <w:t>Das falsch formulierte Problem: die direkte Demokratie</w:t>
        <w:br/>
        <w:t>Modell</w:t>
      </w:r>
      <w:bookmarkEnd w:id="53"/>
      <w:bookmarkEnd w:id="54"/>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Diskussionen über Demokratie neigen oft dazu, sich um die rhetorische Beschwörung der griechischen Polis und des New England Town Meetings zu drehen. Häufig wird das Bild eines kleinen überfüllten Saals wachgerufen, in dem nach lebhaften Debatten „Ja“ und „Nein“ gerufen werden. Wie D'Entreves es ausdrückt, „bleiben die Worte der Großen Trauerrede immer noch in unserer Erinnerung, wenn wir an eine Modelldemokratie denken.“680 Die beschworenen Formen sind längst ausgestorben, haben wenig heuristischen und vernachlässigbaren beschreibenden Wert und verwirren anstatt das Problem zu klären. Keine bestehende zeitgenössische demokratische Nation ist ein Beispiel für direkte Demokratie, und die Veränderungen, die notwendig wären, um eine solche neu zu schaffen, wären gewaltig. Das Individuum wählt die Gesetze nicht mehr direkt; stattdessen wählt er Gesetzgeber (oder vielleicht nur scheinbare Gesetzgeber), und jedes Hinzufügen eines neuen Glieds in einer Verantwortungskette muss diese Verantwortung abschwächen.</w:t>
      </w:r>
    </w:p>
    <w:p>
      <w:pPr>
        <w:pStyle w:val="Flietext1"/>
        <w:keepNext w:val="false"/>
        <w:keepLines w:val="false"/>
        <w:widowControl w:val="false"/>
        <w:shd w:val="clear" w:color="auto" w:fill="auto"/>
        <w:bidi w:val="0"/>
        <w:spacing w:before="0" w:after="260"/>
        <w:ind w:left="0" w:right="0" w:firstLine="320"/>
        <w:jc w:val="both"/>
        <w:rPr/>
      </w:pPr>
      <w:r>
        <w:rPr>
          <w:color w:val="000000"/>
          <w:spacing w:val="0"/>
          <w:w w:val="100"/>
          <w:shd w:fill="auto" w:val="clear"/>
          <w:lang w:val="en-US" w:eastAsia="en-US" w:bidi="en-US"/>
        </w:rPr>
        <w:t>Der Übergang von der direkten zur repräsentativen Demokratie ist eindeutig weit mehr als eine bloße Größenänderung, die von geringfügigen Änderungen der formalen Struktur begleitet wird. Dass der Übergang von der direkten zur repräsentativen Demokratie eine direkte unmittelbare und positive Verbindung zwischen Volk und Politik durch eine indirekte und damit primär negative über die Personalauswahl ersetzt, ist allerdings nur die Hälfte. Für den Bürger des Stadtstaates ist „Teilnahme mit der Gesamtheit des Gemeinschaftslebens verwoben“681 und nicht auf explizit politische Versammlungen beschränkt, bei denen das Minderheitenlos noch frustrierend sein könnte, da ausgedehnte Debatten unter „die neutrale Guillotine der Zeit“ fielen. (Der Ausdruck stammt von Dahl.) Direkte Demokratie ist effektiv auf kleine Gemeinschaften beschränkt, denn eine Gemeinschaft von 1.000.000 ist nicht einfach eine hundertmal größere Gemeinschaft von 10.000, sondern ein völlig anderes Phänomen. Die Intensität und Vollständigkeit der Partizipation in einer kleinen direkten Demokratie ist etwas, das mit heutigen Begriffen kaum zu erklären ist. Wie Peter Laslett betont:</w:t>
      </w:r>
    </w:p>
    <w:p>
      <w:pPr>
        <w:pStyle w:val="Flietext1"/>
        <w:keepNext w:val="false"/>
        <w:keepLines w:val="false"/>
        <w:widowControl w:val="false"/>
        <w:shd w:val="clear" w:color="auto" w:fill="auto"/>
        <w:bidi w:val="0"/>
        <w:spacing w:before="0" w:after="320"/>
        <w:ind w:left="0" w:right="0" w:hanging="0"/>
        <w:jc w:val="center"/>
        <w:rPr/>
      </w:pPr>
      <w:r>
        <w:rPr>
          <w:color w:val="000000"/>
          <w:spacing w:val="0"/>
          <w:w w:val="100"/>
          <w:shd w:fill="auto" w:val="clear"/>
          <w:lang w:val="en-US" w:eastAsia="en-US" w:bidi="en-US"/>
        </w:rPr>
        <w:t>Eine Versammlung oder Zusammenleben mit einer Reihe von Menschen, deren</w:t>
        <w:br/>
        <w:t>Die ganze Erfahrung ist in Kontakt miteinander gegangen, wer</w:t>
        <w:br/>
        <w:t>teilen nicht nur eine Sprache, eine Geschichte und ein bestimmtes Gebiet, sondern alles</w:t>
      </w:r>
    </w:p>
    <w:p>
      <w:pPr>
        <w:pStyle w:val="Flietext1"/>
        <w:keepNext w:val="false"/>
        <w:keepLines w:val="false"/>
        <w:widowControl w:val="false"/>
        <w:shd w:val="clear" w:color="auto" w:fill="auto"/>
        <w:tabs>
          <w:tab w:val="clear" w:pos="720"/>
          <w:tab w:val="left" w:pos="2482" w:leader="dot"/>
        </w:tabs>
        <w:bidi w:val="0"/>
        <w:spacing w:lineRule="auto" w:line="240" w:before="0" w:after="260"/>
        <w:ind w:left="240" w:right="0" w:firstLine="40"/>
        <w:jc w:val="left"/>
        <w:rPr/>
      </w:pPr>
      <w:r>
        <w:rPr>
          <w:color w:val="000000"/>
          <w:spacing w:val="0"/>
          <w:w w:val="100"/>
          <w:shd w:fill="auto" w:val="clear"/>
          <w:vertAlign w:val="superscript"/>
          <w:lang w:val="en-US" w:eastAsia="en-US" w:bidi="en-US"/>
        </w:rPr>
        <w:t>denkbare, isolierbare soziale Zwecke, gleicht nichts, was einer von uns jemals gesehen hat “682</w:t>
      </w:r>
    </w:p>
    <w:p>
      <w:pPr>
        <w:pStyle w:val="Flietext21"/>
        <w:keepNext w:val="false"/>
        <w:keepLines w:val="false"/>
        <w:widowControl w:val="false"/>
        <w:numPr>
          <w:ilvl w:val="0"/>
          <w:numId w:val="62"/>
        </w:numPr>
        <w:shd w:val="clear" w:color="auto" w:fill="auto"/>
        <w:tabs>
          <w:tab w:val="clear" w:pos="720"/>
          <w:tab w:val="left" w:pos="625" w:leader="none"/>
        </w:tabs>
        <w:bidi w:val="0"/>
        <w:spacing w:lineRule="auto" w:line="228" w:before="0" w:after="0"/>
        <w:ind w:left="0" w:right="0" w:firstLine="280"/>
        <w:jc w:val="both"/>
        <w:rPr/>
      </w:pPr>
      <w:r>
        <w:rPr>
          <w:color w:val="000000"/>
          <w:spacing w:val="0"/>
          <w:w w:val="100"/>
          <w:shd w:fill="auto" w:val="clear"/>
          <w:lang w:val="en-US" w:eastAsia="en-US" w:bidi="en-US"/>
        </w:rPr>
        <w:t>Alexander Passerin d'Entreves, Der Begriff des Staates: Eine Einführung in die politische Theorie (Oxford: The Clarendon Press, 1967), p. 229. vgl. Robert A. Dahl, Nach der Revolution? Autorität in einer guten Gesellschaft (New Haven und London: Yale University Press, 1970), p. 140. D'Entreves scheint zuzustimmen; Dahl definitiv nicht.</w:t>
      </w:r>
    </w:p>
    <w:p>
      <w:pPr>
        <w:pStyle w:val="Flietext21"/>
        <w:keepNext w:val="false"/>
        <w:keepLines w:val="false"/>
        <w:widowControl w:val="false"/>
        <w:numPr>
          <w:ilvl w:val="0"/>
          <w:numId w:val="62"/>
        </w:numPr>
        <w:shd w:val="clear" w:color="auto" w:fill="auto"/>
        <w:tabs>
          <w:tab w:val="clear" w:pos="720"/>
          <w:tab w:val="left" w:pos="679" w:leader="none"/>
        </w:tabs>
        <w:bidi w:val="0"/>
        <w:spacing w:lineRule="auto" w:line="192" w:before="0" w:after="200"/>
        <w:ind w:left="0" w:right="0" w:firstLine="280"/>
        <w:jc w:val="both"/>
        <w:rPr/>
      </w:pPr>
      <w:r>
        <w:rPr>
          <w:color w:val="000000"/>
          <w:spacing w:val="0"/>
          <w:w w:val="100"/>
          <w:shd w:fill="auto" w:val="clear"/>
          <w:lang w:val="en-US" w:eastAsia="en-US" w:bidi="en-US"/>
        </w:rPr>
        <w:t>Dahl, Nach der Revolution?, S. 69.</w:t>
      </w:r>
    </w:p>
    <w:p>
      <w:pPr>
        <w:pStyle w:val="Flietext1"/>
        <w:keepNext w:val="false"/>
        <w:keepLines w:val="false"/>
        <w:widowControl w:val="false"/>
        <w:shd w:val="clear" w:color="auto" w:fill="auto"/>
        <w:bidi w:val="0"/>
        <w:spacing w:before="0" w:after="0"/>
        <w:ind w:left="0" w:right="0" w:hanging="0"/>
        <w:jc w:val="both"/>
        <w:rPr/>
      </w:pPr>
      <w:r>
        <w:rPr>
          <w:color w:val="000000"/>
          <w:spacing w:val="0"/>
          <w:w w:val="100"/>
          <w:shd w:fill="auto" w:val="clear"/>
          <w:lang w:val="en-US" w:eastAsia="en-US" w:bidi="en-US"/>
        </w:rPr>
        <w:t>Aufgrund der kontinuierlichen und intensiven Interaktion (sagen wir) einer antiken griechischen Polis war die direkte Demokratie weit mehr als ein persönliches Plebiszit, sondern eine ganze Lebensweise und daher nicht in einer wichtigen Weise von einer Gesellschaft der Vielen zu kopieren Millionen, wo jeder Wähler seine eigene Kabine mit „Ja“- und „Nein“-Knöpfen hat.</w:t>
      </w:r>
    </w:p>
    <w:p>
      <w:pPr>
        <w:pStyle w:val="Flietext1"/>
        <w:keepNext w:val="false"/>
        <w:keepLines w:val="false"/>
        <w:widowControl w:val="false"/>
        <w:shd w:val="clear" w:color="auto" w:fill="auto"/>
        <w:bidi w:val="0"/>
        <w:spacing w:before="0" w:after="240"/>
        <w:ind w:left="0" w:right="0" w:firstLine="280"/>
        <w:jc w:val="both"/>
        <w:rPr/>
      </w:pPr>
      <w:r>
        <w:rPr>
          <w:color w:val="000000"/>
          <w:spacing w:val="0"/>
          <w:w w:val="100"/>
          <w:shd w:fill="auto" w:val="clear"/>
          <w:lang w:val="en-US" w:eastAsia="en-US" w:bidi="en-US"/>
        </w:rPr>
        <w:t>Die weitere Folge einer kleinen und intensiven Interaktion ist die Schaffung von Umständen, in denen sich jedes Mitglied der Bedürfnisse und Wünsche anderer angemessen bewusst sein kann; so argumentiert G.P. Hawthorne, der die Einsicht Rousseau zuschreibt. Ein Zustand von „zu vielen Bedürfnissen und zu vielen Wünschen, eine Funktion zu vieler Menschen, kann durch die menschliche Assimilations- und Urteilskraft nicht bewältigt werden.“683 Sowohl eine kleine als auch eine homogene Bevölkerung würden dazu beitragen, die Informationslast zu verringern. Bei größeren Zahlen kann der menschliche Verstand nur mit vereinfachenden Annahmen reagieren („jeder ist wirklich wie ich“ oder stereotypes Denken – der Bauer, der Arbeiter), was das Kommunikationsproblem nur vergrößert. Die oberflächliche Behauptung von Kendall und Carey, dass eine Mehrheitsdemokratie dies durch „Log-Rolling“ in der Legislative lösen kann568, legt nahe, dass sie das Ausmaß des Problems nicht verstanden haben. Wie Aristoteles bemerkte, ist die Herrschaft über eine große politische Organisation nicht eine Aufgabe von Menschen, sondern von Göttern569 oder von Vermutungen570. Es mag durchaus sein, dass bestimmte Merkmale des Lebens in der Polis dem zeitgenössischen Denken nicht gefallen würden; Sartori schlägt vor, dass das Athen des 4. Jahrhunderts für uns wie eine totalitäre Demokratie aussehen würde.687 Es kann auch der Fall sein (wie Kaplan,688 Dahl689 und d'Entreves690 vermuten lassen), dass die demokratischen Merkmale des griechischen Stadtstaates stark übertrieben wurden von Rhetorikern und Lobrednern, und dass, so schön das Ideal auch gewesen sein mag, die Anwendung dieses Ideals in der Praxis vielleicht nicht ganz perfekt war. Ein solcher Vorschlag ist ein nützliches Korrektiv für Schriftsteller, die sich danach sehnen, griechische Kostüme anzuziehen und eine Zeitmaschine zu finden. Der Punkt ist, dass es eine andere Lebensweise war als alles, was wir heute in der Moderne finden können, und daher von begrenzter theoretischer Relevanz für zeitgenössische demokratische Probleme ist.</w:t>
      </w:r>
    </w:p>
    <w:p>
      <w:pPr>
        <w:pStyle w:val="Flietext21"/>
        <w:keepNext w:val="false"/>
        <w:keepLines w:val="false"/>
        <w:widowControl w:val="false"/>
        <w:numPr>
          <w:ilvl w:val="0"/>
          <w:numId w:val="63"/>
        </w:numPr>
        <w:shd w:val="clear" w:color="auto" w:fill="auto"/>
        <w:tabs>
          <w:tab w:val="clear" w:pos="720"/>
          <w:tab w:val="left" w:pos="625" w:leader="none"/>
        </w:tabs>
        <w:bidi w:val="0"/>
        <w:spacing w:lineRule="auto" w:line="213" w:before="0" w:after="0"/>
        <w:ind w:left="0" w:right="0" w:firstLine="260"/>
        <w:jc w:val="both"/>
        <w:rPr/>
      </w:pPr>
      <w:r>
        <w:rPr>
          <w:color w:val="000000"/>
          <w:spacing w:val="0"/>
          <w:w w:val="100"/>
          <w:shd w:fill="auto" w:val="clear"/>
          <w:lang w:val="en-US" w:eastAsia="en-US" w:bidi="en-US"/>
        </w:rPr>
        <w:t>Peter Laslett, „The Face to Face Society“, in Philosophy, Politics and Society, hrsg. von Peter Laslett (Oxford: Basil Blackwell, 1963), p. 163.</w:t>
      </w:r>
    </w:p>
    <w:p>
      <w:pPr>
        <w:pStyle w:val="Flietext21"/>
        <w:keepNext w:val="false"/>
        <w:keepLines w:val="false"/>
        <w:widowControl w:val="false"/>
        <w:numPr>
          <w:ilvl w:val="0"/>
          <w:numId w:val="63"/>
        </w:numPr>
        <w:shd w:val="clear" w:color="auto" w:fill="auto"/>
        <w:tabs>
          <w:tab w:val="clear" w:pos="720"/>
          <w:tab w:val="left" w:pos="625" w:leader="none"/>
        </w:tabs>
        <w:bidi w:val="0"/>
        <w:spacing w:lineRule="auto" w:line="225" w:before="0" w:after="200"/>
        <w:ind w:left="0" w:right="0" w:firstLine="260"/>
        <w:jc w:val="both"/>
        <w:rPr/>
      </w:pPr>
      <w:r>
        <w:rPr>
          <w:color w:val="000000"/>
          <w:spacing w:val="0"/>
          <w:w w:val="100"/>
          <w:shd w:fill="auto" w:val="clear"/>
          <w:lang w:val="en-US" w:eastAsia="en-US" w:bidi="en-US"/>
        </w:rPr>
        <w:t>GP Hawthorn, „Some Social Consequences of Growing Numbers“, in The Optimum Population for Britain, hrsg. von L.R. Taylor; Proceedings of a Symposium, gehalten in der Royal Geographical Society, London, am 25. und 26. September 1969; Symposien des Instituts für Biologie Nr. 19 (London und New York: Academic Press, 1970), p. 61.</w:t>
      </w:r>
    </w:p>
    <w:p>
      <w:pPr>
        <w:pStyle w:val="Flietext1"/>
        <w:keepNext w:val="false"/>
        <w:keepLines w:val="false"/>
        <w:widowControl w:val="false"/>
        <w:shd w:val="clear" w:color="auto" w:fill="auto"/>
        <w:bidi w:val="0"/>
        <w:spacing w:before="0" w:after="0"/>
        <w:ind w:left="0" w:right="0" w:firstLine="260"/>
        <w:jc w:val="both"/>
        <w:rPr/>
      </w:pPr>
      <w:r>
        <w:rPr>
          <w:color w:val="000000"/>
          <w:spacing w:val="0"/>
          <w:w w:val="100"/>
          <w:shd w:fill="auto" w:val="clear"/>
          <w:vertAlign w:val="superscript"/>
          <w:lang w:val="en-US" w:eastAsia="en-US" w:bidi="en-US"/>
        </w:rPr>
        <w:t>Natürlich werden die Massenmedien regelmäßig, wenn auch oberflächlich, als Mittel zum Lückenschluss angeführt. John Stuart Mill begrüßte Massenzeitungen als Abwechslung zur Wiederherstellung der griechischen Agora;691 Alexander Meiklejohn schwärmte im Radio davon, eine Art New England Town Meeting in großem Stil einzuberufen;692 Ithiel de Sola Pool applaudierte dem Fernsehen, weil es uns den Griechen näher bringe Form der Demokratie,693 ebenso wie John F. Kennedy;694 Stuart Hood sagt uns, dass das Fernsehen die Kriterien und die Stimmung des sächsischen Moot wieder anwendbar machen kann.695 Thompson argumentiert in ziemlich hochfliegender Rhetorik die Bedeutung von Diskussionen und suggeriert deren Wert der Medien, weil „fast jeder einer Diskussion durch mindestens eines der Medien ausgesetzt ist“;696 die Wortgewandtheit ist typisch für die Unbegründetheit solcher Argumente, die den entscheidenden Unterschied zwischen dem Zuschauen und der Teilnahme an einer Diskussion außer Acht lässt (auch wenn die Trend in der politischen Werbung kehrt sich ab den zweiunddreißigsten Spots um, was nur Peter F. Drucker697 zu applaudieren scheint). Selbst wenn die Medien ihr Potenzial zur öffentlichen Information und Aufklärung ausschöpften (was sie selten tun) und selbst wenn sie zur Förderung demokratischer Verhältnisse eingesetzt wurden (und nicht totalitäre und pseudodemokratische Verhältnisse, für die sie besser geeignet erscheinen), Die Situation konnte die intensive Interaktion und unmittelbare Beteiligung, die das Wesen der direkten Demokratie ausmachten, noch immer nicht wiederherstellen. (Bisher ging die Wirkung der Massenmedien natürlich hauptsächlich in die Richtung, die Kosten für Wahlkämpfe und sogar die öffentliche Diskussion über die Medien bis zu dem Punkt zu erhöhen, an dem unabhängige Kandidaturen und Meinungen nicht mehr nur weltfremd sind, sondern absolut wahnsinnig werden. Dass Milton Shapp, ein völlig Unbekannter, eine 1-Dollar-Marke auf den Markt bringen könnte. 2-Millionen-Blitzkampagne und um Haaresbreite Gouverneur von Pennsylvania zu werden, ist keine Nachbildung der direkten Demokratie, sondern eine beeindruckende Demonstration der schieren Macht einer Million Dollar. ) 684 685 686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21"/>
        <w:keepNext w:val="false"/>
        <w:keepLines w:val="false"/>
        <w:widowControl w:val="false"/>
        <w:numPr>
          <w:ilvl w:val="0"/>
          <w:numId w:val="64"/>
        </w:numPr>
        <w:shd w:val="clear" w:color="auto" w:fill="auto"/>
        <w:tabs>
          <w:tab w:val="clear" w:pos="720"/>
          <w:tab w:val="left" w:pos="659" w:leader="none"/>
        </w:tabs>
        <w:bidi w:val="0"/>
        <w:spacing w:lineRule="auto" w:line="189" w:before="0" w:after="0"/>
        <w:ind w:left="0" w:right="0" w:firstLine="260"/>
        <w:jc w:val="both"/>
        <w:rPr/>
      </w:pPr>
      <w:r>
        <w:rPr>
          <w:color w:val="000000"/>
          <w:spacing w:val="0"/>
          <w:w w:val="100"/>
          <w:shd w:fill="auto" w:val="clear"/>
          <w:lang w:val="en-US" w:eastAsia="en-US" w:bidi="en-US"/>
        </w:rPr>
        <w:t>Sartori, Demokratische Theorie, S. 378.</w:t>
      </w:r>
    </w:p>
    <w:p>
      <w:pPr>
        <w:pStyle w:val="Flietext21"/>
        <w:keepNext w:val="false"/>
        <w:keepLines w:val="false"/>
        <w:widowControl w:val="false"/>
        <w:numPr>
          <w:ilvl w:val="0"/>
          <w:numId w:val="64"/>
        </w:numPr>
        <w:shd w:val="clear" w:color="auto" w:fill="auto"/>
        <w:tabs>
          <w:tab w:val="clear" w:pos="720"/>
          <w:tab w:val="left" w:pos="625" w:leader="none"/>
        </w:tabs>
        <w:bidi w:val="0"/>
        <w:spacing w:lineRule="auto" w:line="216" w:before="0" w:after="0"/>
        <w:ind w:left="0" w:right="0" w:firstLine="260"/>
        <w:jc w:val="both"/>
        <w:rPr/>
      </w:pPr>
      <w:r>
        <w:rPr>
          <w:color w:val="000000"/>
          <w:spacing w:val="0"/>
          <w:w w:val="100"/>
          <w:shd w:fill="auto" w:val="clear"/>
          <w:lang w:val="en-US" w:eastAsia="en-US" w:bidi="en-US"/>
        </w:rPr>
        <w:t>Morton A. Kaplan, Dissent and the State in Peace and War: An Essay on the Grounds of Public Morality (New York: The Dunellen Co., 1970), p. 54.</w:t>
      </w:r>
    </w:p>
    <w:p>
      <w:pPr>
        <w:pStyle w:val="Flietext21"/>
        <w:keepNext w:val="false"/>
        <w:keepLines w:val="false"/>
        <w:widowControl w:val="false"/>
        <w:numPr>
          <w:ilvl w:val="0"/>
          <w:numId w:val="64"/>
        </w:numPr>
        <w:shd w:val="clear" w:color="auto" w:fill="auto"/>
        <w:tabs>
          <w:tab w:val="clear" w:pos="720"/>
          <w:tab w:val="left" w:pos="625" w:leader="none"/>
        </w:tabs>
        <w:bidi w:val="0"/>
        <w:spacing w:lineRule="auto" w:line="213" w:before="0" w:after="0"/>
        <w:ind w:left="0" w:right="0" w:firstLine="260"/>
        <w:jc w:val="both"/>
        <w:rPr/>
      </w:pPr>
      <w:r>
        <w:rPr>
          <w:color w:val="000000"/>
          <w:spacing w:val="0"/>
          <w:w w:val="100"/>
          <w:shd w:fill="auto" w:val="clear"/>
          <w:lang w:val="en-US" w:eastAsia="en-US" w:bidi="en-US"/>
        </w:rPr>
        <w:t>Robert A. Dahl, „Die Stadt in der Zukunft der Demokratie“, in The American Political Science Review, Bd. LXI Nr. 4 (Dezember 1967), p. 956.</w:t>
      </w:r>
    </w:p>
    <w:p>
      <w:pPr>
        <w:pStyle w:val="Flietext21"/>
        <w:keepNext w:val="false"/>
        <w:keepLines w:val="false"/>
        <w:widowControl w:val="false"/>
        <w:numPr>
          <w:ilvl w:val="0"/>
          <w:numId w:val="64"/>
        </w:numPr>
        <w:shd w:val="clear" w:color="auto" w:fill="auto"/>
        <w:tabs>
          <w:tab w:val="clear" w:pos="720"/>
          <w:tab w:val="left" w:pos="659" w:leader="none"/>
        </w:tabs>
        <w:bidi w:val="0"/>
        <w:spacing w:lineRule="auto" w:line="189" w:before="0" w:after="0"/>
        <w:ind w:left="0" w:right="0" w:firstLine="260"/>
        <w:jc w:val="both"/>
        <w:rPr/>
      </w:pPr>
      <w:r>
        <w:rPr>
          <w:color w:val="000000"/>
          <w:spacing w:val="0"/>
          <w:w w:val="100"/>
          <w:shd w:fill="auto" w:val="clear"/>
          <w:lang w:val="en-US" w:eastAsia="en-US" w:bidi="en-US"/>
        </w:rPr>
        <w:t>Passerin d'Entreves, Der Begriff des Staates, S. 229.</w:t>
      </w:r>
    </w:p>
    <w:p>
      <w:pPr>
        <w:pStyle w:val="Flietext21"/>
        <w:keepNext w:val="false"/>
        <w:keepLines w:val="false"/>
        <w:widowControl w:val="false"/>
        <w:numPr>
          <w:ilvl w:val="0"/>
          <w:numId w:val="64"/>
        </w:numPr>
        <w:shd w:val="clear" w:color="auto" w:fill="auto"/>
        <w:tabs>
          <w:tab w:val="clear" w:pos="720"/>
          <w:tab w:val="left" w:pos="625" w:leader="none"/>
        </w:tabs>
        <w:bidi w:val="0"/>
        <w:spacing w:lineRule="auto" w:line="228" w:before="0" w:after="0"/>
        <w:ind w:left="0" w:right="0" w:firstLine="260"/>
        <w:jc w:val="both"/>
        <w:rPr/>
      </w:pPr>
      <w:r>
        <w:rPr>
          <w:color w:val="000000"/>
          <w:spacing w:val="0"/>
          <w:w w:val="100"/>
          <w:shd w:fill="auto" w:val="clear"/>
          <w:lang w:val="en-US" w:eastAsia="en-US" w:bidi="en-US"/>
        </w:rPr>
        <w:t>JS Mühle, aus Dissertationen und Diskussionen Vol. II (1850), zitiert in E. W. Martin The Tyranny of the Majority (London: Pall Mall Press, 1961). Das vollständige Zitat lautet: „Die Zeitungen und die Eisenbahnen lösen das Problem, die Demokratie Englands zur Abstimmung zu bringen, wie die Athens, gleichzeitig auf einer Agora.“</w:t>
      </w:r>
    </w:p>
    <w:p>
      <w:pPr>
        <w:pStyle w:val="Flietext21"/>
        <w:keepNext w:val="false"/>
        <w:keepLines w:val="false"/>
        <w:widowControl w:val="false"/>
        <w:numPr>
          <w:ilvl w:val="0"/>
          <w:numId w:val="64"/>
        </w:numPr>
        <w:shd w:val="clear" w:color="auto" w:fill="auto"/>
        <w:tabs>
          <w:tab w:val="clear" w:pos="720"/>
          <w:tab w:val="left" w:pos="659" w:leader="none"/>
        </w:tabs>
        <w:bidi w:val="0"/>
        <w:spacing w:lineRule="auto" w:line="189" w:before="0" w:after="0"/>
        <w:ind w:left="0" w:right="0" w:firstLine="260"/>
        <w:jc w:val="both"/>
        <w:rPr/>
      </w:pPr>
      <w:r>
        <w:rPr>
          <w:i/>
          <w:iCs/>
          <w:color w:val="000000"/>
          <w:spacing w:val="0"/>
          <w:w w:val="100"/>
          <w:shd w:fill="auto" w:val="clear"/>
          <w:lang w:val="en-US" w:eastAsia="en-US" w:bidi="en-US"/>
        </w:rPr>
        <w:t>Alexander Meiklejohn, Politische Freiheit, passim.</w:t>
      </w:r>
    </w:p>
    <w:p>
      <w:pPr>
        <w:pStyle w:val="Flietext21"/>
        <w:keepNext w:val="false"/>
        <w:keepLines w:val="false"/>
        <w:widowControl w:val="false"/>
        <w:numPr>
          <w:ilvl w:val="0"/>
          <w:numId w:val="64"/>
        </w:numPr>
        <w:shd w:val="clear" w:color="auto" w:fill="auto"/>
        <w:tabs>
          <w:tab w:val="clear" w:pos="720"/>
          <w:tab w:val="left" w:pos="625" w:leader="none"/>
        </w:tabs>
        <w:bidi w:val="0"/>
        <w:spacing w:lineRule="auto" w:line="213" w:before="0" w:after="0"/>
        <w:ind w:left="0" w:right="0" w:firstLine="260"/>
        <w:jc w:val="both"/>
        <w:rPr/>
      </w:pPr>
      <w:r>
        <w:rPr>
          <w:color w:val="000000"/>
          <w:spacing w:val="0"/>
          <w:w w:val="100"/>
          <w:shd w:fill="auto" w:val="clear"/>
          <w:lang w:val="en-US" w:eastAsia="en-US" w:bidi="en-US"/>
        </w:rPr>
        <w:t>Ithiel de Sola Pool, „Die Auswirkungen der Kommunikation auf das Wahlverhalten“, in The Science of Human Communications, hrsg. von Wilbur Schramm, (New York: Basic Books, 1962), p. 137.</w:t>
      </w:r>
    </w:p>
    <w:p>
      <w:pPr>
        <w:pStyle w:val="Flietext21"/>
        <w:keepNext w:val="false"/>
        <w:keepLines w:val="false"/>
        <w:widowControl w:val="false"/>
        <w:numPr>
          <w:ilvl w:val="0"/>
          <w:numId w:val="64"/>
        </w:numPr>
        <w:shd w:val="clear" w:color="auto" w:fill="auto"/>
        <w:tabs>
          <w:tab w:val="clear" w:pos="720"/>
          <w:tab w:val="left" w:pos="625" w:leader="none"/>
        </w:tabs>
        <w:bidi w:val="0"/>
        <w:spacing w:lineRule="auto" w:line="213" w:before="0" w:after="0"/>
        <w:ind w:left="0" w:right="0" w:firstLine="260"/>
        <w:jc w:val="both"/>
        <w:rPr/>
      </w:pPr>
      <w:r>
        <w:rPr>
          <w:color w:val="000000"/>
          <w:spacing w:val="0"/>
          <w:w w:val="100"/>
          <w:shd w:fill="auto" w:val="clear"/>
          <w:lang w:val="en-US" w:eastAsia="en-US" w:bidi="en-US"/>
        </w:rPr>
        <w:t>zitiert in John Whale, The Half-Shut Eye: Television and Politics in Britain and America (London: Macmillan, 1969), S. 42.</w:t>
      </w:r>
    </w:p>
    <w:p>
      <w:pPr>
        <w:pStyle w:val="Flietext21"/>
        <w:keepNext w:val="false"/>
        <w:keepLines w:val="false"/>
        <w:widowControl w:val="false"/>
        <w:numPr>
          <w:ilvl w:val="0"/>
          <w:numId w:val="64"/>
        </w:numPr>
        <w:shd w:val="clear" w:color="auto" w:fill="auto"/>
        <w:tabs>
          <w:tab w:val="clear" w:pos="720"/>
          <w:tab w:val="left" w:pos="659" w:leader="none"/>
        </w:tabs>
        <w:bidi w:val="0"/>
        <w:spacing w:lineRule="auto" w:line="189" w:before="0" w:after="0"/>
        <w:ind w:left="0" w:right="0" w:firstLine="260"/>
        <w:jc w:val="both"/>
        <w:rPr/>
      </w:pPr>
      <w:r>
        <w:rPr>
          <w:color w:val="000000"/>
          <w:spacing w:val="0"/>
          <w:w w:val="100"/>
          <w:shd w:fill="auto" w:val="clear"/>
          <w:lang w:val="en-US" w:eastAsia="en-US" w:bidi="en-US"/>
        </w:rPr>
        <w:t>Stuart Hood, A Survey of Television (London: Heinemann, 1967), p. 98.</w:t>
      </w:r>
    </w:p>
    <w:p>
      <w:pPr>
        <w:pStyle w:val="Flietext21"/>
        <w:keepNext w:val="false"/>
        <w:keepLines w:val="false"/>
        <w:widowControl w:val="false"/>
        <w:numPr>
          <w:ilvl w:val="0"/>
          <w:numId w:val="64"/>
        </w:numPr>
        <w:shd w:val="clear" w:color="auto" w:fill="auto"/>
        <w:tabs>
          <w:tab w:val="clear" w:pos="720"/>
          <w:tab w:val="left" w:pos="625" w:leader="none"/>
        </w:tabs>
        <w:bidi w:val="0"/>
        <w:spacing w:lineRule="auto" w:line="213" w:before="0" w:after="0"/>
        <w:ind w:left="0" w:right="0" w:firstLine="260"/>
        <w:jc w:val="both"/>
        <w:rPr/>
      </w:pPr>
      <w:r>
        <w:rPr>
          <w:color w:val="000000"/>
          <w:spacing w:val="0"/>
          <w:w w:val="100"/>
          <w:shd w:fill="auto" w:val="clear"/>
          <w:lang w:val="en-US" w:eastAsia="en-US" w:bidi="en-US"/>
        </w:rPr>
        <w:t>Dennis F. Thompson, The Democratic Citizen: Social Science and Democratic Theory in the 20th Century (Cambridge: Cambridge University Press, 1970), p. 88.</w:t>
      </w:r>
    </w:p>
    <w:p>
      <w:pPr>
        <w:pStyle w:val="Flietext21"/>
        <w:keepNext w:val="false"/>
        <w:keepLines w:val="false"/>
        <w:widowControl w:val="false"/>
        <w:numPr>
          <w:ilvl w:val="0"/>
          <w:numId w:val="64"/>
        </w:numPr>
        <w:shd w:val="clear" w:color="auto" w:fill="auto"/>
        <w:tabs>
          <w:tab w:val="clear" w:pos="720"/>
          <w:tab w:val="left" w:pos="625" w:leader="none"/>
        </w:tabs>
        <w:bidi w:val="0"/>
        <w:spacing w:lineRule="auto" w:line="213" w:before="0" w:after="200"/>
        <w:ind w:left="0" w:right="0" w:firstLine="260"/>
        <w:jc w:val="both"/>
        <w:rPr/>
      </w:pPr>
      <w:r>
        <w:rPr>
          <w:color w:val="000000"/>
          <w:spacing w:val="0"/>
          <w:w w:val="100"/>
          <w:shd w:fill="auto" w:val="clear"/>
          <w:lang w:val="en-US" w:eastAsia="en-US" w:bidi="en-US"/>
        </w:rPr>
        <w:t>Peter F. Drucker, The Age of Discontinuity: Guidelines to Our Changing Society (London: Heinemann, 1969), p. 315.</w:t>
      </w:r>
    </w:p>
    <w:p>
      <w:pPr>
        <w:pStyle w:val="Flietext1"/>
        <w:keepNext w:val="false"/>
        <w:keepLines w:val="false"/>
        <w:widowControl w:val="false"/>
        <w:shd w:val="clear" w:color="auto" w:fill="auto"/>
        <w:bidi w:val="0"/>
        <w:spacing w:before="0" w:after="100"/>
        <w:ind w:left="0" w:right="0" w:firstLine="260"/>
        <w:jc w:val="both"/>
        <w:rPr/>
      </w:pPr>
      <w:r>
        <w:rPr>
          <w:color w:val="000000"/>
          <w:spacing w:val="0"/>
          <w:w w:val="100"/>
          <w:shd w:fill="auto" w:val="clear"/>
          <w:lang w:val="en-US" w:eastAsia="en-US" w:bidi="en-US"/>
        </w:rPr>
        <w:t>Wenn Lipson Recht hatte, als er behauptete, dem demokratischen Ideal sei im Laufe der Jahrhunderte nichts hinzugefügt worden, und „das Hauptproblem der Demokratie war im Laufe der Jahrhunderte nicht, wie man es konzeptualisiert, sondern wie man es verwirklicht“,698 dann Demokratietheorie würde in ernsthafte Schwierigkeiten geraten. Passender ist Mayos Erkenntnis, dass „es Zeitverschwendung ist, über direkte Demokratie nachzudenken“699, und Sartoris Hinweis, dass es „höchst zweifelhaft ist, ob unsere politischen Makrodemokratien richtig als Erweiterung einiger Mikrodemokratien konzipiert und verstanden werden können. Prototyp.“700 Bei allem, was die heutige westliche Gesellschaft der griechischen Polis intellektuell zu verdanken hat, müssen die radikalen Unterschiede zwischen den beiden anerkannt werden, denn „die Art von Konsens, die manchmal aus persönlichen Diskussionen hervorgeht, kann von der Nation nicht erwartet werden -weite Debatte.“701 Etwas zynisch sagt Kaplan voraus, dass „die Rhetorik der Demokratie mit ziemlicher Sicherheit weiterhin die Kontrolle des modernen Bürgers über Regierungsentscheidungen grundlegend falsch darstellen wird“702. Er hat zweifellos Recht, zumindest teilweise wegen der hypnotisierenden und irreführenden Wirkung des höchst unangemessenen Modells der direkten Demokratie. Die Entfernung von Beschwörungen der griechischen Polis und des sächsischen Streits mag unsere Rhetorik verarmen, aber unser Verständnis enorm erweitern.</w:t>
      </w:r>
    </w:p>
    <w:p>
      <w:pPr>
        <w:pStyle w:val="Flietext21"/>
        <w:keepNext w:val="false"/>
        <w:keepLines w:val="false"/>
        <w:widowControl w:val="false"/>
        <w:numPr>
          <w:ilvl w:val="0"/>
          <w:numId w:val="64"/>
        </w:numPr>
        <w:shd w:val="clear" w:color="auto" w:fill="auto"/>
        <w:tabs>
          <w:tab w:val="clear" w:pos="720"/>
          <w:tab w:val="left" w:pos="699" w:leader="none"/>
        </w:tabs>
        <w:bidi w:val="0"/>
        <w:spacing w:lineRule="auto" w:line="192" w:before="0" w:after="0"/>
        <w:ind w:left="0" w:right="0" w:firstLine="240"/>
        <w:jc w:val="left"/>
        <w:rPr/>
      </w:pPr>
      <w:r>
        <w:rPr>
          <w:color w:val="000000"/>
          <w:spacing w:val="0"/>
          <w:w w:val="100"/>
          <w:shd w:fill="auto" w:val="clear"/>
          <w:lang w:val="en-US" w:eastAsia="en-US" w:bidi="en-US"/>
        </w:rPr>
        <w:t>Leslie Lipson, The Democratic Civilization (New York: Oxford University Press, 1964), S. 21.</w:t>
      </w:r>
    </w:p>
    <w:p>
      <w:pPr>
        <w:pStyle w:val="Flietext21"/>
        <w:keepNext w:val="false"/>
        <w:keepLines w:val="false"/>
        <w:widowControl w:val="false"/>
        <w:numPr>
          <w:ilvl w:val="0"/>
          <w:numId w:val="64"/>
        </w:numPr>
        <w:shd w:val="clear" w:color="auto" w:fill="auto"/>
        <w:tabs>
          <w:tab w:val="clear" w:pos="720"/>
          <w:tab w:val="left" w:pos="680" w:leader="none"/>
        </w:tabs>
        <w:bidi w:val="0"/>
        <w:spacing w:lineRule="auto" w:line="216" w:before="0" w:after="0"/>
        <w:ind w:left="0" w:right="0" w:firstLine="240"/>
        <w:jc w:val="left"/>
        <w:rPr/>
      </w:pPr>
      <w:r>
        <w:rPr>
          <w:color w:val="000000"/>
          <w:spacing w:val="0"/>
          <w:w w:val="100"/>
          <w:shd w:fill="auto" w:val="clear"/>
          <w:lang w:val="en-US" w:eastAsia="en-US" w:bidi="en-US"/>
        </w:rPr>
        <w:t>Henry B. Mayo, „Wie können wir Demokratie rechtfertigen?“ in American Political Science Review Vol. LVI, p. 555.</w:t>
      </w:r>
    </w:p>
    <w:p>
      <w:pPr>
        <w:pStyle w:val="Flietext21"/>
        <w:keepNext w:val="false"/>
        <w:keepLines w:val="false"/>
        <w:widowControl w:val="false"/>
        <w:numPr>
          <w:ilvl w:val="0"/>
          <w:numId w:val="64"/>
        </w:numPr>
        <w:shd w:val="clear" w:color="auto" w:fill="auto"/>
        <w:tabs>
          <w:tab w:val="clear" w:pos="720"/>
          <w:tab w:val="left" w:pos="699" w:leader="none"/>
        </w:tabs>
        <w:bidi w:val="0"/>
        <w:spacing w:lineRule="auto" w:line="192" w:before="0" w:after="0"/>
        <w:ind w:left="0" w:right="0" w:firstLine="240"/>
        <w:jc w:val="left"/>
        <w:rPr/>
      </w:pPr>
      <w:r>
        <w:rPr>
          <w:color w:val="000000"/>
          <w:spacing w:val="0"/>
          <w:w w:val="100"/>
          <w:shd w:fill="auto" w:val="clear"/>
          <w:lang w:val="en-US" w:eastAsia="en-US" w:bidi="en-US"/>
        </w:rPr>
        <w:t>Sartori, Demokratische Theorie, S. 15.</w:t>
      </w:r>
    </w:p>
    <w:p>
      <w:pPr>
        <w:pStyle w:val="Flietext21"/>
        <w:keepNext w:val="false"/>
        <w:keepLines w:val="false"/>
        <w:widowControl w:val="false"/>
        <w:numPr>
          <w:ilvl w:val="0"/>
          <w:numId w:val="64"/>
        </w:numPr>
        <w:shd w:val="clear" w:color="auto" w:fill="auto"/>
        <w:tabs>
          <w:tab w:val="clear" w:pos="720"/>
          <w:tab w:val="left" w:pos="699" w:leader="none"/>
        </w:tabs>
        <w:bidi w:val="0"/>
        <w:spacing w:lineRule="auto" w:line="192" w:before="0" w:after="0"/>
        <w:ind w:left="0" w:right="0" w:firstLine="240"/>
        <w:jc w:val="left"/>
        <w:rPr/>
      </w:pPr>
      <w:r>
        <w:rPr>
          <w:color w:val="000000"/>
          <w:spacing w:val="0"/>
          <w:w w:val="100"/>
          <w:shd w:fill="auto" w:val="clear"/>
          <w:lang w:val="en-US" w:eastAsia="en-US" w:bidi="en-US"/>
        </w:rPr>
        <w:t>Benn und Peters, Soziale Prinzipien und der Demokratische Staat, p. 243.</w:t>
      </w:r>
    </w:p>
    <w:p>
      <w:pPr>
        <w:sectPr>
          <w:footerReference w:type="even" r:id="rId37"/>
          <w:footerReference w:type="default" r:id="rId38"/>
          <w:type w:val="nextPage"/>
          <w:pgSz w:w="12240" w:h="15840"/>
          <w:pgMar w:left="1486" w:right="1491" w:gutter="0" w:header="0" w:top="1424" w:footer="800" w:bottom="1228"/>
          <w:pgNumType w:fmt="decimal"/>
          <w:formProt w:val="false"/>
          <w:textDirection w:val="lrTb"/>
          <w:docGrid w:type="default" w:linePitch="360" w:charSpace="0"/>
        </w:sectPr>
        <w:pStyle w:val="Flietext21"/>
        <w:keepNext w:val="false"/>
        <w:keepLines w:val="false"/>
        <w:widowControl w:val="false"/>
        <w:numPr>
          <w:ilvl w:val="0"/>
          <w:numId w:val="64"/>
        </w:numPr>
        <w:shd w:val="clear" w:color="auto" w:fill="auto"/>
        <w:tabs>
          <w:tab w:val="clear" w:pos="720"/>
          <w:tab w:val="left" w:pos="699" w:leader="none"/>
        </w:tabs>
        <w:bidi w:val="0"/>
        <w:spacing w:lineRule="auto" w:line="192" w:before="0" w:after="0"/>
        <w:ind w:left="0" w:right="0" w:firstLine="240"/>
        <w:jc w:val="left"/>
        <w:rPr/>
      </w:pPr>
      <w:r>
        <w:rPr>
          <w:color w:val="000000"/>
          <w:spacing w:val="0"/>
          <w:w w:val="100"/>
          <w:shd w:fill="auto" w:val="clear"/>
          <w:lang w:val="en-US" w:eastAsia="en-US" w:bidi="en-US"/>
        </w:rPr>
        <w:t>Kaplan, Dissent und der Staat in Frieden und Krieg, S. 43.</w:t>
      </w:r>
    </w:p>
    <w:p>
      <w:pPr>
        <w:pStyle w:val="Berschrift11"/>
        <w:keepNext w:val="true"/>
        <w:keepLines/>
        <w:widowControl w:val="false"/>
        <w:shd w:val="clear" w:color="auto" w:fill="auto"/>
        <w:bidi w:val="0"/>
        <w:spacing w:lineRule="auto" w:line="240" w:before="0" w:after="0"/>
        <w:ind w:left="0" w:right="0" w:hanging="0"/>
        <w:jc w:val="center"/>
        <w:rPr/>
      </w:pPr>
      <w:bookmarkStart w:id="55" w:name="bookmark65"/>
      <w:bookmarkStart w:id="56" w:name="bookmark64"/>
      <w:r>
        <w:rPr>
          <w:spacing w:val="0"/>
          <w:w w:val="100"/>
          <w:shd w:fill="auto" w:val="clear"/>
          <w:lang w:val="en-US" w:eastAsia="en-US" w:bidi="en-US"/>
        </w:rPr>
        <w:t>Anhang IV</w:t>
      </w:r>
      <w:bookmarkEnd w:id="55"/>
      <w:bookmarkEnd w:id="56"/>
    </w:p>
    <w:p>
      <w:pPr>
        <w:pStyle w:val="Flietext71"/>
        <w:keepNext w:val="false"/>
        <w:keepLines w:val="false"/>
        <w:widowControl w:val="false"/>
        <w:shd w:val="clear" w:color="auto" w:fill="auto"/>
        <w:bidi w:val="0"/>
        <w:spacing w:lineRule="auto" w:line="240" w:before="0" w:after="380"/>
        <w:ind w:left="0" w:right="0" w:hanging="0"/>
        <w:jc w:val="center"/>
        <w:rPr/>
      </w:pPr>
      <w:bookmarkStart w:id="57" w:name="bookmark66"/>
      <w:bookmarkStart w:id="58" w:name="bookmark67"/>
      <w:r>
        <w:rPr>
          <w:spacing w:val="0"/>
          <w:w w:val="100"/>
          <w:shd w:fill="auto" w:val="clear"/>
          <w:lang w:val="en-US" w:eastAsia="en-US" w:bidi="en-US"/>
        </w:rPr>
        <w:t>Green, Bradley und die idealistische Theorie von</w:t>
        <w:br/>
        <w:t>Verpflichtung</w:t>
      </w:r>
      <w:bookmarkEnd w:id="57"/>
      <w:bookmarkEnd w:id="58"/>
    </w:p>
    <w:p>
      <w:pPr>
        <w:pStyle w:val="Flietext1"/>
        <w:keepNext w:val="false"/>
        <w:keepLines w:val="false"/>
        <w:widowControl w:val="false"/>
        <w:shd w:val="clear" w:color="auto" w:fill="auto"/>
        <w:bidi w:val="0"/>
        <w:spacing w:before="0" w:after="0"/>
        <w:ind w:left="0" w:right="0" w:firstLine="300"/>
        <w:jc w:val="both"/>
        <w:rPr/>
      </w:pPr>
      <w:r>
        <w:rPr>
          <w:color w:val="000000"/>
          <w:spacing w:val="0"/>
          <w:w w:val="100"/>
          <w:shd w:fill="auto" w:val="clear"/>
          <w:lang w:val="en-US" w:eastAsia="en-US" w:bidi="en-US"/>
        </w:rPr>
        <w:t>Der Idealismus von F.H. Bradley hat große Ähnlichkeit mit dem von T.H. Green stützt sich dennoch expliziter auf Hegel, während Green intellektuelle Abstammung von Rousseau und Kant behauptet. Der allgemeine Rahmen ist derselbe: die Verschmelzung von Staat und Gesellschaft, die Unterordnung des Individuums unter das Produkt dieser Verschmelzung mittels historischer Mechanismen, die Akzeptanz von Staat/Gesellschaft als moralische Einheit, das Vertrauen auf die Geschichte als Akteur und Mechanismus des moralischen Fortschritts. Die beiden Verpflichtungstheorien sind Variationen eines Themas, und wie T.H. Green ausführlicher behandelt wurde, genügt es, auf die engen Ähnlichkeiten zwischen den beiden hinzuweisen, die die Assimilation von Bradly an das Argument direkt gegen Green rechtfertigen.</w:t>
      </w:r>
    </w:p>
    <w:p>
      <w:pPr>
        <w:pStyle w:val="Flietext1"/>
        <w:keepNext w:val="false"/>
        <w:keepLines w:val="false"/>
        <w:widowControl w:val="false"/>
        <w:shd w:val="clear" w:color="auto" w:fill="auto"/>
        <w:bidi w:val="0"/>
        <w:spacing w:before="0" w:after="280"/>
        <w:ind w:left="0" w:right="0" w:firstLine="300"/>
        <w:jc w:val="both"/>
        <w:rPr/>
      </w:pPr>
      <w:r>
        <w:rPr>
          <w:color w:val="000000"/>
          <w:spacing w:val="0"/>
          <w:w w:val="100"/>
          <w:shd w:fill="auto" w:val="clear"/>
          <w:lang w:val="en-US" w:eastAsia="en-US" w:bidi="en-US"/>
        </w:rPr>
        <w:t>In Greens Schriften scheint eine beträchtliche Betonung auf das zu liegen, was man heute als „Sozialisierung“ bezeichnen würde. Die Institutionen des Staates haben das Individuum zu dem gemacht, was es als moralisches Individuum ist, sie haben ihm die Worte und Ideen gegeben, mit denen es die Moral betrachten kann, und ohne sie wäre es nicht einmal ein moralisches Wesen. Das Auftreten von moralisch motiviertem Dissens scheint Green fast zu verwirren (was nicht überraschend ist, wenn die Rolle dieser Institutionen so allgegenwärtig ist, wie er es zulässt), und seine erste Reaktion scheint darin zu bestehen, dem Einzelnen so etwas wie Undankbarkeit vorzuwerfen. Bradley akzeptiert die Sozialisationsthese noch begeisterter und fügt ihr die Idee der kulturellen Vererbung hinzu:</w:t>
      </w:r>
    </w:p>
    <w:p>
      <w:pPr>
        <w:pStyle w:val="Flietext1"/>
        <w:keepNext w:val="false"/>
        <w:keepLines w:val="false"/>
        <w:widowControl w:val="false"/>
        <w:shd w:val="clear" w:color="auto" w:fill="auto"/>
        <w:bidi w:val="0"/>
        <w:spacing w:lineRule="auto" w:line="252" w:before="0" w:after="280"/>
        <w:ind w:left="240" w:right="0" w:firstLine="380"/>
        <w:jc w:val="left"/>
        <w:rPr/>
      </w:pPr>
      <w:r>
        <w:rPr>
          <w:color w:val="000000"/>
          <w:spacing w:val="0"/>
          <w:w w:val="100"/>
          <w:shd w:fill="auto" w:val="clear"/>
          <w:vertAlign w:val="superscript"/>
          <w:lang w:val="en-US" w:eastAsia="en-US" w:bidi="en-US"/>
        </w:rPr>
        <w:t>Es ist, glaube ich, eine Tatsache, dass das Kind einer Rasse bei der Geburt nicht dasselbe ist wie das Kind einer anderen; dass es in den Kindern der einen Rasse eine gewisse Identität gibt, einen entwickelten oder unentwickelten Nationaltypus, der gegenwärtig vielleicht noch nicht erkennbar ist, aber dennoch in irgendeiner Form auftreten wird.703</w:t>
      </w:r>
    </w:p>
    <w:p>
      <w:pPr>
        <w:pStyle w:val="Flietext21"/>
        <w:keepNext w:val="false"/>
        <w:keepLines w:val="false"/>
        <w:widowControl w:val="false"/>
        <w:numPr>
          <w:ilvl w:val="0"/>
          <w:numId w:val="64"/>
        </w:numPr>
        <w:shd w:val="clear" w:color="auto" w:fill="auto"/>
        <w:tabs>
          <w:tab w:val="clear" w:pos="720"/>
          <w:tab w:val="left" w:pos="625" w:leader="none"/>
        </w:tabs>
        <w:bidi w:val="0"/>
        <w:spacing w:lineRule="auto" w:line="213" w:before="0" w:after="200"/>
        <w:ind w:left="0" w:right="0" w:firstLine="300"/>
        <w:jc w:val="both"/>
        <w:rPr/>
      </w:pPr>
      <w:r>
        <w:rPr>
          <w:color w:val="000000"/>
          <w:spacing w:val="0"/>
          <w:w w:val="100"/>
          <w:shd w:fill="auto" w:val="clear"/>
          <w:lang w:val="en-US" w:eastAsia="en-US" w:bidi="en-US"/>
        </w:rPr>
        <w:t>F.H. Bradley, Ethical Studies (2. Auflage) (London, Oxford and New York: Oxford University Press, 1970) (Erstveröffentlichung 1927), p. 169.</w:t>
      </w:r>
    </w:p>
    <w:p>
      <w:pPr>
        <w:pStyle w:val="Flietext1"/>
        <w:keepNext w:val="false"/>
        <w:keepLines w:val="false"/>
        <w:widowControl w:val="false"/>
        <w:shd w:val="clear" w:color="auto" w:fill="auto"/>
        <w:bidi w:val="0"/>
        <w:spacing w:before="0" w:after="280"/>
        <w:ind w:left="0" w:right="0" w:hanging="0"/>
        <w:jc w:val="both"/>
        <w:rPr/>
      </w:pPr>
      <w:r>
        <w:rPr>
          <w:color w:val="000000"/>
          <w:spacing w:val="0"/>
          <w:w w:val="100"/>
          <w:shd w:fill="auto" w:val="clear"/>
          <w:lang w:val="en-US" w:eastAsia="en-US" w:bidi="en-US"/>
        </w:rPr>
        <w:t>und wieder:</w:t>
      </w:r>
    </w:p>
    <w:p>
      <w:pPr>
        <w:pStyle w:val="Flietext1"/>
        <w:keepNext w:val="false"/>
        <w:keepLines w:val="false"/>
        <w:widowControl w:val="false"/>
        <w:shd w:val="clear" w:color="auto" w:fill="auto"/>
        <w:bidi w:val="0"/>
        <w:spacing w:lineRule="auto" w:line="252" w:before="0" w:after="260"/>
        <w:ind w:left="320" w:right="0" w:firstLine="300"/>
        <w:jc w:val="both"/>
        <w:rPr/>
      </w:pPr>
      <w:r>
        <w:rPr>
          <w:color w:val="000000"/>
          <w:spacing w:val="0"/>
          <w:w w:val="100"/>
          <w:shd w:fill="auto" w:val="clear"/>
          <w:vertAlign w:val="superscript"/>
          <w:lang w:val="en-US" w:eastAsia="en-US" w:bidi="en-US"/>
        </w:rPr>
        <w:t>Es ist die Meinung derjenigen, die am besten qualifiziert sind, über das Thema zu sprechen, dass die Zivilisation in einem nicht unerheblichen Ausmaß erblich ist; dass Fähigkeiten entwickelt werden und im Kind bei der Geburt latent vorhanden sind; und dass es etwas ganz anderes ist, sogar abgesehen von der Bildung, von zivilisierten und von unzivilisierten Vorfahren geboren zu werden. Diese „zivilisierten Tendenzen“, wenn wir den Ausdruck gebrauchen dürfen, gehören zum Wesen des Kindes: Ohne sie wäre es nur teilweise (wenn überhaupt) es selbst;568</w:t>
      </w:r>
    </w:p>
    <w:p>
      <w:pPr>
        <w:pStyle w:val="Flietext1"/>
        <w:keepNext w:val="false"/>
        <w:keepLines w:val="false"/>
        <w:widowControl w:val="false"/>
        <w:shd w:val="clear" w:color="auto" w:fill="auto"/>
        <w:bidi w:val="0"/>
        <w:spacing w:before="0" w:after="0"/>
        <w:ind w:left="0" w:right="0" w:hanging="0"/>
        <w:jc w:val="both"/>
        <w:rPr/>
      </w:pPr>
      <w:r>
        <w:rPr>
          <w:color w:val="000000"/>
          <w:spacing w:val="0"/>
          <w:w w:val="100"/>
          <w:shd w:fill="auto" w:val="clear"/>
          <w:vertAlign w:val="superscript"/>
          <w:lang w:val="en-US" w:eastAsia="en-US" w:bidi="en-US"/>
        </w:rPr>
        <w:t>und er schlägt vor, dass dies die Sozialisation noch effektiver macht, da „sie auf diese angeborene Disposition antwortet. Wer kann ihr widerstehen?“568</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Die Idee der kulturellen Vererbung wird am besten wohltätig abgetan. Die Funktion, die es in seiner Argumentation erfüllt, scheint darin zu bestehen, die Bande zwischen Individuum und Staat/Gesellschaft zu stärken: Nicht bloße Konditionierung, sondern „angeborene Anlagen“ vereinen das Individuum mit der Gesellschaft, der es angehört, und damit mit „seinem Stand und seinen Aufgaben“. ” Selbst der Vorschlag „wenn es dir nicht gefällt, lass es“ (oder Lockes ähnliches Recht auf Auswanderung) klingt ein wenig falsch, wenn die Bindung zwischen dem Individuum und der sozialen Ordnung sogar der Sozialisation vorausgeht.</w:t>
      </w:r>
    </w:p>
    <w:p>
      <w:pPr>
        <w:pStyle w:val="Flietext1"/>
        <w:keepNext w:val="false"/>
        <w:keepLines w:val="false"/>
        <w:widowControl w:val="false"/>
        <w:shd w:val="clear" w:color="auto" w:fill="auto"/>
        <w:bidi w:val="0"/>
        <w:spacing w:before="0" w:after="260"/>
        <w:ind w:left="0" w:right="0" w:firstLine="320"/>
        <w:jc w:val="both"/>
        <w:rPr/>
      </w:pPr>
      <w:r>
        <w:rPr>
          <w:color w:val="000000"/>
          <w:spacing w:val="0"/>
          <w:w w:val="100"/>
          <w:shd w:fill="auto" w:val="clear"/>
          <w:lang w:val="en-US" w:eastAsia="en-US" w:bidi="en-US"/>
        </w:rPr>
        <w:t>In einem anderen Sinn jedoch wird Bradleys Evolution der Moral besser gestützt, wenn man die These der kulturellen Vererbung aufgibt. Zeitgenössische Evolutionsautoren betonen lieber den sozialen Mechanismus der menschlichen Evolution. Zum Beispiel bezeichnet Hogben den Menschen als „einzigartig erziehbar“ und „in der Lage, durch Sprache informativ zu kommunizieren“; Neben seinen Genen „übermittelt (m)an auch Erfahrungen an die nächste Generation.“568 In ähnlicher Weise sagt Waddington:</w:t>
      </w:r>
    </w:p>
    <w:p>
      <w:pPr>
        <w:pStyle w:val="Flietext1"/>
        <w:keepNext w:val="false"/>
        <w:keepLines w:val="false"/>
        <w:widowControl w:val="false"/>
        <w:shd w:val="clear" w:color="auto" w:fill="auto"/>
        <w:bidi w:val="0"/>
        <w:spacing w:before="0" w:after="260"/>
        <w:ind w:left="320" w:right="0" w:firstLine="300"/>
        <w:jc w:val="both"/>
        <w:rPr/>
      </w:pPr>
      <w:r>
        <w:rPr>
          <w:color w:val="000000"/>
          <w:spacing w:val="0"/>
          <w:w w:val="100"/>
          <w:shd w:fill="auto" w:val="clear"/>
          <w:vertAlign w:val="superscript"/>
          <w:lang w:val="en-US" w:eastAsia="en-US" w:bidi="en-US"/>
        </w:rPr>
        <w:t>Das hervorstechendste Merkmal des Menschen – vielleicht könnte man sagen, dass es sein bestimmendes Merkmal ist – ist, dass er in einem enorm höheren Maße als bei jeder anderen Spezies eine Methode entwickelt hat, Informationen von einer Generation zur nächsten weiterzugeben ist eine Alternative zum biologischen Mechanismus, der von Genen abhängt. Dieses menschliche Informationsübertragungssystem ist natürlich der Prozess des sozialen Lernens. Dadurch erhält der Mensch ein zweites evolutionäres System, das dem biologischen überlagert ist.568</w:t>
      </w:r>
    </w:p>
    <w:p>
      <w:pPr>
        <w:pStyle w:val="Flietext1"/>
        <w:keepNext w:val="false"/>
        <w:keepLines w:val="false"/>
        <w:widowControl w:val="false"/>
        <w:shd w:val="clear" w:color="auto" w:fill="auto"/>
        <w:bidi w:val="0"/>
        <w:spacing w:before="0" w:after="0"/>
        <w:ind w:left="0" w:right="0" w:hanging="0"/>
        <w:jc w:val="both"/>
        <w:rPr/>
      </w:pPr>
      <w:r>
        <w:rPr>
          <w:color w:val="000000"/>
          <w:spacing w:val="0"/>
          <w:w w:val="100"/>
          <w:shd w:fill="auto" w:val="clear"/>
          <w:lang w:val="en-US" w:eastAsia="en-US" w:bidi="en-US"/>
        </w:rPr>
        <w:t>Der Hinweis auf die Existenz kultureller Chromosomen ist völlig überflüssig und schwächt sogar die Bedeutung der sozialen Einheit, indem zumindest ein Teil der Wertevermittlung privatisiert und damit außerhalb der Reichweite der Gesellschaft gestellt wird. Die Betonung der Evolution durch Sozialisation führt direkter zu einem anderen wichtigen Teil von Bradleys Argumentation, nämlich „dem Standpunkt, der die Gemeinschaft als den wahren moralischen Organismus betrachtet.“707 568 Dies ist plausibler, wenn die moralische Evolution durch Bildung stattfindet, wenn überhaupt eine soziale Evolution ist, als wenn sie durch genetische Übertragung erfolgt, als zumindest teilweise eine biologische Evolution. Die Idee der kulturellen Vererbung ist einfach unnötig.</w:t>
      </w:r>
    </w:p>
    <w:p>
      <w:pPr>
        <w:pStyle w:val="Flietext1"/>
        <w:keepNext w:val="false"/>
        <w:keepLines w:val="false"/>
        <w:widowControl w:val="false"/>
        <w:shd w:val="clear" w:color="auto" w:fill="auto"/>
        <w:bidi w:val="0"/>
        <w:spacing w:before="0" w:after="260"/>
        <w:ind w:left="0" w:right="0" w:firstLine="320"/>
        <w:jc w:val="both"/>
        <w:rPr/>
      </w:pPr>
      <w:r>
        <w:rPr>
          <w:color w:val="000000"/>
          <w:spacing w:val="0"/>
          <w:w w:val="100"/>
          <w:shd w:fill="auto" w:val="clear"/>
          <w:lang w:val="en-US" w:eastAsia="en-US" w:bidi="en-US"/>
        </w:rPr>
        <w:t>Wo Bradley und Green völlig einer Meinung sind, ist die Erörterung der Strenge und Kraft des sozialen Lernprozesses, außer dass Bradley in seiner Darstellung eloquenter wird:</w:t>
      </w:r>
    </w:p>
    <w:p>
      <w:pPr>
        <w:pStyle w:val="Flietext1"/>
        <w:keepNext w:val="false"/>
        <w:keepLines w:val="false"/>
        <w:widowControl w:val="false"/>
        <w:shd w:val="clear" w:color="auto" w:fill="auto"/>
        <w:bidi w:val="0"/>
        <w:spacing w:before="0" w:after="0"/>
        <w:ind w:left="320" w:right="0" w:firstLine="300"/>
        <w:jc w:val="both"/>
        <w:rPr/>
      </w:pPr>
      <w:r>
        <w:rPr>
          <w:color w:val="000000"/>
          <w:spacing w:val="0"/>
          <w:w w:val="100"/>
          <w:shd w:fill="auto" w:val="clear"/>
          <w:vertAlign w:val="superscript"/>
          <w:lang w:val="en-US" w:eastAsia="en-US" w:bidi="en-US"/>
        </w:rPr>
        <w:t>(das Individuum) denkt nicht einmal an sein getrenntes Selbst; er wächst mit seiner Welt, sein Geist füllt und ordnet sich; und wenn er sich von dieser Welt trennen kann und sich von ihr getrennt weiß, dann ist zu diesem Zeitpunkt sein Selbst, das Objekt seines Selbstbewusstseins, von der Existenz anderer durchdrungen, infiziert, gekennzeichnet. Sein Inhalt impliziert in jeder Faser Beziehungen der Gemeinschaft. Er lernt sprechen oder hat vielleicht schon gelernt zu sprechen, und hier eignet er sich das gemeinsame Erbe seiner Rasse an, die Sprache, die er sich zu eigen macht, ist die Sprache seines Landes, es ist (oder sollte es sein) die gleiche, die andere sprechen, und es trägt ihm die Ideen und Empfindungen der Rasse ins Gedächtnis (darüber brauche ich mich nicht aufzuhalten) und prägt sie unauslöschlich ein. Er wächst in einer Atmosphäre des Beispiels und der allgemeinen Sitte auf, sein Leben weitet sich von einer kleinen Welt zu anderen und höheren Welten aus, und er begreift durch aufeinanderfolgende Stationen das Ganze, in dem er lebt und gelebt hat. Soll er jetzt versuchen, seine „Individualität“, sein Selbst, das nicht dasselbe ist wie andere Selbste, zu entwickeln? Wo ist es? Was ist es? Wo kann er es finden? Die Seele in ihm ist gesättigt, erfüllt, qualifiziert, hat sich assimiliert, hat ihre Substanz bekommen, hat sich daraus aufgebaut, sie ist ein und dasselbe Leben mit dem universellen Leben, und wenn sie sich dagegen wendet, wendet sie sich gegen sich selbst ; wenn er es von sich stößt, reißt er sich die Eingeweide; wenn er es angreift, richtet er seine Waffe gegen sein eigenes Herz.568</w:t>
      </w:r>
    </w:p>
    <w:p>
      <w:pPr>
        <w:pStyle w:val="Flietext1"/>
        <w:keepNext w:val="false"/>
        <w:keepLines w:val="false"/>
        <w:widowControl w:val="false"/>
        <w:shd w:val="clear" w:color="auto" w:fill="auto"/>
        <w:bidi w:val="0"/>
        <w:spacing w:before="0" w:after="0"/>
        <w:ind w:left="0" w:right="0" w:hanging="0"/>
        <w:jc w:val="both"/>
        <w:rPr/>
      </w:pPr>
      <w:r>
        <w:rPr>
          <w:color w:val="000000"/>
          <w:spacing w:val="0"/>
          <w:w w:val="100"/>
          <w:shd w:fill="auto" w:val="clear"/>
          <w:lang w:val="en-US" w:eastAsia="en-US" w:bidi="en-US"/>
        </w:rPr>
        <w:t>Auch hier scheint man eine solide Antwort gefunden zu haben, um jeden möglichen Andersdenkenden nur auf Kosten des Auftauchens eines solchen Andersdenkenden so unwahrscheinlich zu machen, dass im Rahmen des Arguments, dass die bloße Tatsache seines Auftauchens ein ernsthaftes Problem für wenn nicht eine Widerlegung von, diese Widerlegung. Bradley und Green lösen dieses Problem nicht so sehr, sondern versuchen per definitionem, seine Entstehung zu verhindern.</w:t>
      </w:r>
    </w:p>
    <w:p>
      <w:pPr>
        <w:pStyle w:val="Flietext1"/>
        <w:keepNext w:val="false"/>
        <w:keepLines w:val="false"/>
        <w:widowControl w:val="false"/>
        <w:shd w:val="clear" w:color="auto" w:fill="auto"/>
        <w:bidi w:val="0"/>
        <w:spacing w:before="0" w:after="260"/>
        <w:ind w:left="0" w:right="0" w:firstLine="320"/>
        <w:jc w:val="both"/>
        <w:rPr/>
      </w:pPr>
      <w:r>
        <w:rPr>
          <w:color w:val="000000"/>
          <w:spacing w:val="0"/>
          <w:w w:val="100"/>
          <w:shd w:fill="auto" w:val="clear"/>
          <w:lang w:val="en-US" w:eastAsia="en-US" w:bidi="en-US"/>
        </w:rPr>
        <w:t>Mit Th. Green scheint der Staat zu sein, und bei Bradley ist die Gemeinschaft die moralische Einheit, und beide scheinen an einer evolutionären Vorstellung von moralischem Fortschritt festzuhalten, der diese Einheit betrifft. Bei Green taucht dieser Gedanke, obwohl er für die Plausibilität und die Dauerhaftigkeit seiner Argumentation entscheidend ist, eher beiläufig in Form zweier historischer Mechanismen auf, die völlig unabhängig von anderen Teilen seiner Argumentation wirken. Erstens gibt es den Mechanismus, durch den der Einzelne so vollständig am moralischen Geist der Zeit teilnimmt und in seinen Handlungen so von diesem Geist eingeschränkt wird, dass sogar böse Motive zu guten führen. Zweitens gibt es den historischen Mechanismus, der den Zusammenbruch jedes Staates garantiert, der selbst nicht in Übereinstimmung mit einer solchen Funktion steht, wobei letztere die „Theodizee seines politischen Glaubens“ bildet, wie Richter es ausdrückt. Bei Bradly ist der Mechanismus etwas expliziter, integraler für seine These und rein evolutionärer Natur. Zum Beispiel:</w:t>
      </w:r>
    </w:p>
    <w:p>
      <w:pPr>
        <w:pStyle w:val="Flietext1"/>
        <w:keepNext w:val="false"/>
        <w:keepLines w:val="false"/>
        <w:widowControl w:val="false"/>
        <w:shd w:val="clear" w:color="auto" w:fill="auto"/>
        <w:bidi w:val="0"/>
        <w:spacing w:lineRule="auto" w:line="252" w:before="0" w:after="260"/>
        <w:ind w:left="320" w:right="0" w:firstLine="300"/>
        <w:jc w:val="left"/>
        <w:rPr/>
      </w:pPr>
      <w:r>
        <w:rPr>
          <w:color w:val="000000"/>
          <w:spacing w:val="0"/>
          <w:w w:val="100"/>
          <w:shd w:fill="auto" w:val="clear"/>
          <w:vertAlign w:val="superscript"/>
          <w:lang w:val="en-US" w:eastAsia="en-US" w:bidi="en-US"/>
        </w:rPr>
        <w:t>Wenn Evolution mehr ist als eine gequälte Phrase und Fortschritt zu einem Ziel keine bloße Idee, sondern eine tatsächliche Tatsache ist, dann ist Geschichte das Herausarbeiten der wahren menschlichen Natur durch verschiedene Stadien bis zur Vollendung, und „meine Stufe“ ist die einzig zufriedenstellende Sicht darauf Moral.709 568</w:t>
      </w:r>
    </w:p>
    <w:p>
      <w:pPr>
        <w:pStyle w:val="Flietext1"/>
        <w:keepNext w:val="false"/>
        <w:keepLines w:val="false"/>
        <w:widowControl w:val="false"/>
        <w:shd w:val="clear" w:color="auto" w:fill="auto"/>
        <w:bidi w:val="0"/>
        <w:spacing w:before="0" w:after="260"/>
        <w:ind w:left="0" w:right="0" w:hanging="0"/>
        <w:jc w:val="left"/>
        <w:rPr/>
      </w:pPr>
      <w:r>
        <w:rPr>
          <w:color w:val="000000"/>
          <w:spacing w:val="0"/>
          <w:w w:val="100"/>
          <w:shd w:fill="auto" w:val="clear"/>
          <w:lang w:val="en-US" w:eastAsia="en-US" w:bidi="en-US"/>
        </w:rPr>
        <w:t>und wieder:</w:t>
      </w:r>
    </w:p>
    <w:p>
      <w:pPr>
        <w:pStyle w:val="Flietext1"/>
        <w:keepNext w:val="false"/>
        <w:keepLines w:val="false"/>
        <w:widowControl w:val="false"/>
        <w:shd w:val="clear" w:color="auto" w:fill="auto"/>
        <w:bidi w:val="0"/>
        <w:spacing w:lineRule="auto" w:line="252" w:before="0" w:after="260"/>
        <w:ind w:left="320" w:right="0" w:firstLine="300"/>
        <w:jc w:val="left"/>
        <w:rPr/>
      </w:pPr>
      <w:r>
        <w:rPr>
          <w:color w:val="000000"/>
          <w:spacing w:val="0"/>
          <w:w w:val="100"/>
          <w:shd w:fill="auto" w:val="clear"/>
          <w:vertAlign w:val="superscript"/>
          <w:lang w:val="en-US" w:eastAsia="en-US" w:bidi="en-US"/>
        </w:rPr>
        <w:t>Auf jeder Stufe gibt es die solide Tatsache einer bisher moralisierten Welt. Es gibt eine objektive Moral im vollendeten Willen der Vergangenheit und Gegenwart, ein höheres Selbst, das durch den unendlichen Schmerz, den Schweiß und das Blut von Generationen herausgearbeitet wurde und mir jetzt durch die freie Gnade und in Liebe und Glauben als heiliges Vertrauen gegeben wurde . Es kommt zu mir als die Wahrheit meiner eigenen Natur und der Macht und des Gesetzes, die stärker und höher sind als jede Laune oder Meinung von mir.568</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Die Vorgehensweise dieser Evolution wird einfach leer und mysteriös gelassen, was wahrscheinlich auch gut so ist, da ein „Überleben der Moralischsten“ schwer aufrechtzuerhalten ist und ein „Überleben der Stärksten“ eher amoralisch als moralisch ist. Das Individuum wird jedoch für Bradley in eine Gemeinschaft gestellt, an die gleichzeitig durch genetische Disposition und Sozialisation gebunden ist, die dieser Disposition entspricht, die Gemeinschaft (die sich nie vollständig vom Staat unterscheidet) wird als moralische Einheit und als Gegenstand eines Prozesses der Selbstbehauptung behauptet moralische Evolution, und dies ist der Grund für das Argument für „mein Stand und seine Pflichten“ als moralische Ethik.</w:t>
      </w:r>
    </w:p>
    <w:p>
      <w:pPr>
        <w:pStyle w:val="Flietext1"/>
        <w:keepNext w:val="false"/>
        <w:keepLines w:val="false"/>
        <w:widowControl w:val="false"/>
        <w:shd w:val="clear" w:color="auto" w:fill="auto"/>
        <w:bidi w:val="0"/>
        <w:spacing w:before="0" w:after="260"/>
        <w:ind w:left="0" w:right="0" w:firstLine="320"/>
        <w:jc w:val="both"/>
        <w:rPr/>
      </w:pPr>
      <w:r>
        <w:rPr>
          <w:color w:val="000000"/>
          <w:spacing w:val="0"/>
          <w:w w:val="100"/>
          <w:shd w:fill="auto" w:val="clear"/>
          <w:lang w:val="en-US" w:eastAsia="en-US" w:bidi="en-US"/>
        </w:rPr>
        <w:t>Bradley schlägt das Gewissen als „reine individuelle Meinung und Laune“711 568 aus dem Weg und entscheidet sich stattdessen für eine individuelle Beurteilungsmethode, die „die Moral der Gemeinschaft als Grundlage voraussetzt und ihrer Zustimmung unterliegt.“569 Die Behauptung des Gewissens gegen „meine Station und ihre Pflichten“ einfach von der Hand zu weisen. Auch eine Alternative des Einwands (nämlich, dass diese Gemeinschaft ihre eigenen moralischen Werte unvollkommen oder unzureichend verwirklicht) ist unter Starters Orders nicht zulässig, denn diese Methode des individuellen moralischen Urteils ist eine der „intuitiven Subsumtionen“:570 „Wir sagen, wir ‚sehen' und wir ‚fühlen‘ … nicht wir ‚schließen‘.“571 Doch seine Argumentation geht ein wenig über die bloße Aussage hinaus, dass „das gewöhnliche moralische Urteil nicht diskursiv ist“572, da er darauf besteht, dass dies zu Recht nicht der Fall ist:</w:t>
      </w:r>
    </w:p>
    <w:p>
      <w:pPr>
        <w:pStyle w:val="Flietext1"/>
        <w:keepNext w:val="false"/>
        <w:keepLines w:val="false"/>
        <w:widowControl w:val="false"/>
        <w:shd w:val="clear" w:color="auto" w:fill="auto"/>
        <w:bidi w:val="0"/>
        <w:spacing w:lineRule="auto" w:line="252" w:before="0" w:after="0"/>
        <w:ind w:left="320" w:right="0" w:firstLine="300"/>
        <w:jc w:val="left"/>
        <w:rPr/>
      </w:pPr>
      <w:r>
        <w:rPr>
          <w:color w:val="000000"/>
          <w:spacing w:val="0"/>
          <w:w w:val="100"/>
          <w:shd w:fill="auto" w:val="clear"/>
          <w:vertAlign w:val="superscript"/>
          <w:lang w:val="en-US" w:eastAsia="en-US" w:bidi="en-US"/>
        </w:rPr>
        <w:t>Wenn ein Mann wissen soll, was richtig ist, sollte er durch Gebote und noch mehr durch Beispiele den Geist seiner Gemeinschaft, ihre allgemeinen und spezifischen Überzeugungen in Bezug auf richtig und falsch, in sich aufgenommen haben, und mit diesem Ganzen in seinem Geist verkörpert haben, sollte es in jedem neuen Fall nicht durch eine reflexive Deduktion, sondern durch eine intuitive Subsumtion, die nicht weiß, dass es eine Subsumtion ist, partikularisieren.“568</w:t>
      </w:r>
    </w:p>
    <w:p>
      <w:pPr>
        <w:pStyle w:val="Flietext1"/>
        <w:keepNext w:val="false"/>
        <w:keepLines w:val="false"/>
        <w:widowControl w:val="false"/>
        <w:shd w:val="clear" w:color="auto" w:fill="auto"/>
        <w:bidi w:val="0"/>
        <w:spacing w:lineRule="auto" w:line="252" w:before="0" w:after="260"/>
        <w:ind w:left="240" w:right="0" w:firstLine="60"/>
        <w:jc w:val="both"/>
        <w:rPr/>
      </w:pPr>
      <w:r>
        <w:rPr>
          <w:color w:val="000000"/>
          <w:spacing w:val="0"/>
          <w:w w:val="100"/>
          <w:shd w:fill="auto" w:val="clear"/>
          <w:vertAlign w:val="superscript"/>
          <w:lang w:val="en-US" w:eastAsia="en-US" w:bidi="en-US"/>
        </w:rPr>
        <w:t>einem Mann mit einfacher Moral, dass der Fall andere Seiten hat als die, die er instinktiv festhält, und er vermutet, dass Sie ihn korrumpieren wollen. Und das würdest du wahrscheinlich auch, wenn du weitermachen würdest. Abgesehen von schlechtem Beispiel ist der beste Weg, die Moral von jemandem zu verderben, auf der Seite des Prinzips, ihn zu verwirren, indem man ihn zwingt, in allen moralischen und unmoralischen Handlungen andere Seiten und Standpunkte zu sehen, die den Charakter von jedem verändern. „718</w:t>
      </w:r>
    </w:p>
    <w:p>
      <w:pPr>
        <w:pStyle w:val="Flietext1"/>
        <w:keepNext w:val="false"/>
        <w:keepLines w:val="false"/>
        <w:widowControl w:val="false"/>
        <w:shd w:val="clear" w:color="auto" w:fill="auto"/>
        <w:bidi w:val="0"/>
        <w:spacing w:before="0" w:after="260"/>
        <w:ind w:left="0" w:right="0" w:firstLine="300"/>
        <w:jc w:val="both"/>
        <w:rPr/>
      </w:pPr>
      <w:r>
        <w:rPr>
          <w:color w:val="000000"/>
          <w:spacing w:val="0"/>
          <w:w w:val="100"/>
          <w:shd w:fill="auto" w:val="clear"/>
          <w:lang w:val="en-US" w:eastAsia="en-US" w:bidi="en-US"/>
        </w:rPr>
        <w:t>Bradley hat auf den Einwand nicht so sehr geantwortet, sondern ihn einfach umgangen. Er hat nirgendwo die Möglichkeit bestritten, dass eine Gemeinschaft bei der Verwirklichung und Einhaltung ihrer eigenen Werte heuchlerisch wird, und damit die Gültigkeit einer solchen Kritik; er hat lediglich bestritten, dass unsere moralischen Urteile nach einer solchen rationalistischen Methode funktionieren oder funktionieren sollten. Für den Kritiker, der einen solchen Einwand gegen „meine Station und ihre Pflichten“ erhebt, versucht Bradley nicht einmal, auf die Anklage zu antworten, und Beweise auf die eine oder andere Weise sind einfach nebensächlich. Er erwidert lediglich, dass ein solches moralisches Urteil die Kriterien für ein moralisches Urteil nicht erfülle. Wie er weiter sagt:</w:t>
      </w:r>
    </w:p>
    <w:p>
      <w:pPr>
        <w:pStyle w:val="Flietext1"/>
        <w:keepNext w:val="false"/>
        <w:keepLines w:val="false"/>
        <w:widowControl w:val="false"/>
        <w:shd w:val="clear" w:color="auto" w:fill="auto"/>
        <w:bidi w:val="0"/>
        <w:spacing w:before="0" w:after="220"/>
        <w:ind w:left="240" w:right="0" w:firstLine="380"/>
        <w:jc w:val="both"/>
        <w:rPr/>
      </w:pPr>
      <w:r>
        <w:rPr>
          <w:color w:val="000000"/>
          <w:spacing w:val="0"/>
          <w:w w:val="100"/>
          <w:shd w:fill="auto" w:val="clear"/>
          <w:vertAlign w:val="superscript"/>
          <w:lang w:val="en-US" w:eastAsia="en-US" w:bidi="en-US"/>
        </w:rPr>
        <w:t>wenn du so gut wie deine Welt sein könntest, wärst du wahrscheinlich besser, als du es höchstwahrscheinlich bist, und besser sein zu wollen als die Welt bedeutet bereits, an der Schwelle zur Unmoral zu stehen.719</w:t>
      </w:r>
    </w:p>
    <w:p>
      <w:pPr>
        <w:pStyle w:val="Flietext21"/>
        <w:keepNext w:val="false"/>
        <w:keepLines w:val="false"/>
        <w:widowControl w:val="false"/>
        <w:numPr>
          <w:ilvl w:val="0"/>
          <w:numId w:val="65"/>
        </w:numPr>
        <w:shd w:val="clear" w:color="auto" w:fill="auto"/>
        <w:tabs>
          <w:tab w:val="clear" w:pos="720"/>
          <w:tab w:val="left" w:pos="639" w:leader="none"/>
        </w:tabs>
        <w:bidi w:val="0"/>
        <w:spacing w:lineRule="auto" w:line="240" w:before="0" w:after="0"/>
        <w:ind w:left="0" w:right="0" w:firstLine="240"/>
        <w:jc w:val="left"/>
        <w:rPr/>
      </w:pPr>
      <w:r>
        <w:rPr>
          <w:color w:val="000000"/>
          <w:spacing w:val="0"/>
          <w:w w:val="100"/>
          <w:shd w:fill="auto" w:val="clear"/>
          <w:lang w:val="en-US" w:eastAsia="en-US" w:bidi="en-US"/>
        </w:rPr>
        <w:t>Ebenda, S. 197 fn.</w:t>
      </w:r>
    </w:p>
    <w:p>
      <w:pPr>
        <w:pStyle w:val="Flietext21"/>
        <w:keepNext w:val="false"/>
        <w:keepLines w:val="false"/>
        <w:widowControl w:val="false"/>
        <w:numPr>
          <w:ilvl w:val="0"/>
          <w:numId w:val="65"/>
        </w:numPr>
        <w:shd w:val="clear" w:color="auto" w:fill="auto"/>
        <w:tabs>
          <w:tab w:val="clear" w:pos="720"/>
          <w:tab w:val="left" w:pos="639" w:leader="none"/>
        </w:tabs>
        <w:bidi w:val="0"/>
        <w:spacing w:lineRule="auto" w:line="228" w:before="0" w:after="0"/>
        <w:ind w:left="0" w:right="0" w:firstLine="240"/>
        <w:jc w:val="left"/>
        <w:rPr/>
      </w:pPr>
      <w:r>
        <w:rPr>
          <w:color w:val="000000"/>
          <w:spacing w:val="0"/>
          <w:w w:val="100"/>
          <w:shd w:fill="auto" w:val="clear"/>
          <w:lang w:val="en-US" w:eastAsia="en-US" w:bidi="en-US"/>
        </w:rPr>
        <w:t>Ebenda, S. 196.</w:t>
      </w:r>
    </w:p>
    <w:p>
      <w:pPr>
        <w:pStyle w:val="Flietext21"/>
        <w:keepNext w:val="false"/>
        <w:keepLines w:val="false"/>
        <w:widowControl w:val="false"/>
        <w:numPr>
          <w:ilvl w:val="0"/>
          <w:numId w:val="65"/>
        </w:numPr>
        <w:shd w:val="clear" w:color="auto" w:fill="auto"/>
        <w:tabs>
          <w:tab w:val="clear" w:pos="720"/>
          <w:tab w:val="left" w:pos="639" w:leader="none"/>
        </w:tabs>
        <w:bidi w:val="0"/>
        <w:spacing w:lineRule="auto" w:line="213" w:before="0" w:after="220"/>
        <w:ind w:left="0" w:right="0" w:firstLine="240"/>
        <w:jc w:val="left"/>
        <w:rPr/>
      </w:pPr>
      <w:r>
        <w:rPr>
          <w:color w:val="000000"/>
          <w:spacing w:val="0"/>
          <w:w w:val="100"/>
          <w:shd w:fill="auto" w:val="clear"/>
          <w:lang w:val="en-US" w:eastAsia="en-US" w:bidi="en-US"/>
        </w:rPr>
        <w:t>Ebenda, S. 197.</w:t>
      </w:r>
    </w:p>
    <w:p>
      <w:pPr>
        <w:pStyle w:val="Flietext1"/>
        <w:keepNext w:val="false"/>
        <w:keepLines w:val="false"/>
        <w:widowControl w:val="false"/>
        <w:shd w:val="clear" w:color="auto" w:fill="auto"/>
        <w:bidi w:val="0"/>
        <w:spacing w:before="0" w:after="0"/>
        <w:ind w:left="0" w:right="0" w:hanging="0"/>
        <w:jc w:val="both"/>
        <w:rPr/>
      </w:pPr>
      <w:r>
        <w:rPr>
          <w:color w:val="000000"/>
          <w:spacing w:val="0"/>
          <w:w w:val="100"/>
          <w:shd w:fill="auto" w:val="clear"/>
          <w:lang w:val="en-US" w:eastAsia="en-US" w:bidi="en-US"/>
        </w:rPr>
        <w:t>Aber „höchstwahrscheinlich“ ist bereits ein stillschweigendes Eingeständnis von „nicht immer“, das implizit eine Anklage gegen die Welt zugibt, die in einigen Fällen nicht so gut ist, wie sie sein sollte; und der zweite Teil der Erklärung ist eine Wiederholung seiner Idee, dass nur der Staat/die Gemeinschaft eine moralische Einheit ist und dass das Individuum am moralischen Fortschritt nicht durch rigorose moralische Reflexion teilnehmen sollte, sondern nur passiv als Teilhaber am Staat, der sich ausfüllt „Sein Stand und seine Pflichten“ und das Erreichen moralischer Urteile durch nicht-rationale Subsumtionen.</w:t>
      </w:r>
    </w:p>
    <w:p>
      <w:pPr>
        <w:pStyle w:val="Flietext1"/>
        <w:keepNext w:val="false"/>
        <w:keepLines w:val="false"/>
        <w:widowControl w:val="false"/>
        <w:shd w:val="clear" w:color="auto" w:fill="auto"/>
        <w:bidi w:val="0"/>
        <w:spacing w:before="0" w:after="220"/>
        <w:ind w:left="0" w:right="0" w:firstLine="300"/>
        <w:jc w:val="both"/>
        <w:rPr/>
      </w:pPr>
      <w:r>
        <w:rPr>
          <w:color w:val="000000"/>
          <w:spacing w:val="0"/>
          <w:w w:val="100"/>
          <w:shd w:fill="auto" w:val="clear"/>
          <w:lang w:val="en-US" w:eastAsia="en-US" w:bidi="en-US"/>
        </w:rPr>
        <w:t>Es gibt Unterschiede zwischen Badley und Green, aber sie gehen nicht auf die zentralen Themen ihrer Argumente für politische Verpflichtung ein. In jedem wichtigen Fall ist Bradley ein weniger ambivalenter und selbstzweifelnder Grüner, und sowohl die allgemeine Route der Argumentation als auch ihr endgültiges Ziel sind für beide gleich. In beiden Fällen neigt das Individuum dazu, in der Gemeinschaft zu verschwinden, von der Sozialisation überwältigt und daran gehindert, in irgendeiner Form aufzutreten, die auch nur entfernt der eines Moralkritikers ähnelt. In beiden Fällen sind Staat und Gemeinschaft faktisch verschmolzen, so dass keines gegen das andere geltend gemacht werden kann und die Gemeinschaft ohne Nachweis oder Beweis als Einheit akzeptiert wird. In beiden Fällen wird das individuelle Recht auf moralische Kritik am Staat/Gemeinschaft durch die Behauptung geleugnet, dass der Staat/die Gemeinschaft die moralische Einheit, der Träger des moralischen Fortschritts ist. Die konservative Rigidität eines solchen Vorschlags wird in beiden Fällen durch die Annahme einer moralischen Evolution oder eines moralischen Fortschritts geleugnet, wodurch die Notwendigkeit einer solchen moralischen Kritik (insofern moralischer Fortschritt ohne sie weitergeht) vermieden wird, auch wenn sie ihre Zulässigkeit untergräbt. In beiden Fällen bleibt jedoch der Mechanismus dieser Evolution vage, mehr oder weniger im Glauben hingenommen, da seine Funktionsweise hinreichend undurchsichtig ist, dass er nur als staatstragendes Prinzip, niemals als Kriterium oder Maßstab gegen den Staat dienen kann gemessen und möglicherweise kritisiert oder verurteilt. Der implizierte Imperativ ist nicht hypothetisch (wenn sich der Staat so verhält, dann gehorche), sondern kategorisch (der Staat ist von Natur aus so und so, also gehorche). Beide enden als etwas, das sich Etatisten nähert, Dissens (geschweige denn Ungehorsam) von vornherein verbietet und jeden möglichen moralischen Einwand gegen die Autorität oder das Verhalten des Staates fröhlich untergräbt, indem er einen extremen Relativismus annimmt, der niemals auch nur daran denken darf, Subjektivismus zu werden. (Green ist darüber viel weniger erfreut, wie sein Mann bezeugt, der sich Sorgen über das zugegebene Übel der Sklaverei macht, aber dies ist ein stilistisches und peripheres Zögern, das die allgemeine Tendenz seiner Argumentation nicht beeinträchtigen darf. )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21"/>
        <w:keepNext w:val="false"/>
        <w:keepLines w:val="false"/>
        <w:widowControl w:val="false"/>
        <w:numPr>
          <w:ilvl w:val="0"/>
          <w:numId w:val="65"/>
        </w:numPr>
        <w:shd w:val="clear" w:color="auto" w:fill="auto"/>
        <w:tabs>
          <w:tab w:val="clear" w:pos="720"/>
          <w:tab w:val="left" w:pos="650" w:leader="none"/>
        </w:tabs>
        <w:bidi w:val="0"/>
        <w:spacing w:lineRule="auto" w:line="240" w:before="0" w:after="220"/>
        <w:ind w:left="0" w:right="0" w:firstLine="260"/>
        <w:jc w:val="left"/>
        <w:rPr/>
      </w:pPr>
      <w:r>
        <w:rPr>
          <w:color w:val="000000"/>
          <w:spacing w:val="0"/>
          <w:w w:val="100"/>
          <w:shd w:fill="auto" w:val="clear"/>
          <w:lang w:val="en-US" w:eastAsia="en-US" w:bidi="en-US"/>
        </w:rPr>
        <w:t>Ebenda, S. 199.</w:t>
      </w:r>
    </w:p>
    <w:p>
      <w:pPr>
        <w:sectPr>
          <w:footerReference w:type="even" r:id="rId39"/>
          <w:footerReference w:type="default" r:id="rId40"/>
          <w:type w:val="nextPage"/>
          <w:pgSz w:w="12240" w:h="15840"/>
          <w:pgMar w:left="1485" w:right="1485" w:gutter="0" w:header="0" w:top="1432" w:footer="820" w:bottom="1248"/>
          <w:pgNumType w:fmt="decimal"/>
          <w:formProt w:val="false"/>
          <w:textDirection w:val="lrTb"/>
          <w:docGrid w:type="default" w:linePitch="360" w:charSpace="0"/>
        </w:sectPr>
        <w:pStyle w:val="Flietext1"/>
        <w:keepNext w:val="false"/>
        <w:keepLines w:val="false"/>
        <w:widowControl w:val="false"/>
        <w:shd w:val="clear" w:color="auto" w:fill="auto"/>
        <w:bidi w:val="0"/>
        <w:spacing w:before="0" w:after="220"/>
        <w:ind w:left="0" w:right="0" w:firstLine="280"/>
        <w:jc w:val="both"/>
        <w:rPr/>
      </w:pPr>
      <w:r>
        <w:rPr>
          <w:color w:val="000000"/>
          <w:spacing w:val="0"/>
          <w:w w:val="100"/>
          <w:shd w:fill="auto" w:val="clear"/>
          <w:lang w:val="en-US" w:eastAsia="en-US" w:bidi="en-US"/>
        </w:rPr>
        <w:t>Wenn Green keine endgültige oder zufriedenstellende Antwort auf das Problem der politischen Verpflichtung hat, hat Bradley dies auch nicht, denn ihre Antwort ist im Grunde dieselbe.</w:t>
      </w:r>
    </w:p>
    <w:p>
      <w:pPr>
        <w:pStyle w:val="Berschrift11"/>
        <w:keepNext w:val="true"/>
        <w:keepLines/>
        <w:widowControl w:val="false"/>
        <w:shd w:val="clear" w:color="auto" w:fill="auto"/>
        <w:bidi w:val="0"/>
        <w:spacing w:lineRule="auto" w:line="240" w:before="0" w:after="440"/>
        <w:ind w:left="0" w:right="0" w:hanging="0"/>
        <w:jc w:val="center"/>
        <w:rPr/>
      </w:pPr>
      <w:hyperlink w:anchor="bookmark21" w:tgtFrame="Current Document">
        <w:bookmarkStart w:id="59" w:name="bookmark68"/>
        <w:bookmarkStart w:id="60" w:name="bookmark70"/>
        <w:bookmarkStart w:id="61" w:name="bookmark69"/>
        <w:r>
          <w:rPr>
            <w:spacing w:val="0"/>
            <w:w w:val="100"/>
            <w:shd w:fill="auto" w:val="clear"/>
            <w:lang w:val="en-US" w:eastAsia="en-US" w:bidi="en-US"/>
          </w:rPr>
          <w:t>Anhang V</w:t>
          <w:br/>
          <w:t>Hinweis zu Pufendorf</w:t>
        </w:r>
      </w:hyperlink>
      <w:bookmarkEnd w:id="59"/>
      <w:bookmarkEnd w:id="60"/>
      <w:bookmarkEnd w:id="61"/>
    </w:p>
    <w:p>
      <w:pPr>
        <w:pStyle w:val="Flietext1"/>
        <w:keepNext w:val="false"/>
        <w:keepLines w:val="false"/>
        <w:widowControl w:val="false"/>
        <w:shd w:val="clear" w:color="auto" w:fill="auto"/>
        <w:bidi w:val="0"/>
        <w:spacing w:lineRule="auto" w:line="261" w:before="0" w:after="280"/>
        <w:ind w:left="0" w:right="0" w:firstLine="320"/>
        <w:jc w:val="left"/>
        <w:rPr/>
      </w:pPr>
      <w:r>
        <w:rPr>
          <w:color w:val="000000"/>
          <w:spacing w:val="0"/>
          <w:w w:val="100"/>
          <w:shd w:fill="auto" w:val="clear"/>
          <w:lang w:val="en-US" w:eastAsia="en-US" w:bidi="en-US"/>
        </w:rPr>
        <w:t>Derathe zitiert ausführlich die folgende Passage aus Pufendorf, die für die Diskussion des Begriffs des unterstellten Vertrags am relevantesten erscheint:</w:t>
      </w:r>
    </w:p>
    <w:p>
      <w:pPr>
        <w:pStyle w:val="Flietext1"/>
        <w:keepNext w:val="false"/>
        <w:keepLines w:val="false"/>
        <w:widowControl w:val="false"/>
        <w:shd w:val="clear" w:color="auto" w:fill="auto"/>
        <w:bidi w:val="0"/>
        <w:spacing w:before="0" w:after="280"/>
        <w:ind w:left="280" w:right="0" w:firstLine="340"/>
        <w:jc w:val="both"/>
        <w:rPr/>
      </w:pPr>
      <w:r>
        <w:rPr>
          <w:i/>
          <w:iCs/>
          <w:color w:val="000000"/>
          <w:spacing w:val="0"/>
          <w:w w:val="100"/>
          <w:shd w:fill="auto" w:val="clear"/>
          <w:vertAlign w:val="superscript"/>
          <w:lang w:val="en-US" w:eastAsia="en-US" w:bidi="en-US"/>
        </w:rPr>
        <w:t>Die Autorität von Vätern und Müttern beruht nach wie vor auf der mutmaßlichen Zustimmung der Kinder und damit auf einer Art stillschweigender Übereinkunft. In der Tat, wie einerseits der Vater und die Mutter, sogar, dass sie ihr Kind behalten wollen, obwohl es noch nicht den Gebrauch der Vernunft hat und daher nicht in der Lage ist, sich zu irgendetwas ausdrücklich zu verpflichten, geht allein dadurch, dass seine Eltern ihre Pflicht erfüllen, eine gegenseitige Verpflichtung ein, die so stark ist, als ob er eine formelle Zustimmung gegeben hätte; es entfaltet nur jetzt seine Wirkung, wenn er mündig geworden ist, um zu verstehen, was sein Vater und seine Mutter für ihn getan haben. Denn es gibt Grund zu der Annahme, dass er, wenn er bei der Geburt die Vernunft gebrauchen und in der Lage gewesen wäre, zu überlegen, dass er sich ohne die Fürsorge seiner Eltern und folglich ohne die Autorität überhaupt nicht absolut am Leben erhalten könnte, er es freiwillig tun würde sich ihm unterworfen haben, sofern sie es gut erhoben haben: Eine Zustimmung, die auf vernünftiger Grundlage vermutet wird, ist so viel wert wie eine förmliche Zustimmung; ebenso wie eine Person, deren Geschäfte in seiner Abwesenheit und ohne sein Wissen getätigt wurden, als stillschweigend verpflichtet gilt, die Kosten zu ersetzen, die ihm für die Erbringung dieser Dienstleistung entstehen würden.720</w:t>
      </w:r>
    </w:p>
    <w:p>
      <w:pPr>
        <w:pStyle w:val="Flietext1"/>
        <w:keepNext w:val="false"/>
        <w:keepLines w:val="false"/>
        <w:widowControl w:val="false"/>
        <w:shd w:val="clear" w:color="auto" w:fill="auto"/>
        <w:bidi w:val="0"/>
        <w:spacing w:lineRule="auto" w:line="259" w:before="0" w:after="280"/>
        <w:ind w:left="0" w:right="0" w:firstLine="320"/>
        <w:jc w:val="both"/>
        <w:rPr/>
      </w:pPr>
      <w:r>
        <w:rPr>
          <w:color w:val="000000"/>
          <w:spacing w:val="0"/>
          <w:w w:val="100"/>
          <w:shd w:fill="auto" w:val="clear"/>
          <w:lang w:val="en-US" w:eastAsia="en-US" w:bidi="en-US"/>
        </w:rPr>
        <w:t>Wenn wir den Hinweis auf eine Verpflichtung aus empfangener Leistung („was sein Vater und seine Mutter für ihn getan haben“) und die vorsichtige Abwägung des physischen Überlebens („er könnte sich ohne die Fürsorge seiner Eltern nicht absolut selbst am Leben erhalten“) übersehen, ist die Kernstück der Passage ist fraglos die Klausel „Einwilligung, die bei vernünftiger Betrachtungsweise vermutet wird, steht einer ausdrücklichen Zustimmung gleich“. Die Reihenfolge der Argumentation ist wie folgt:</w:t>
      </w:r>
    </w:p>
    <w:p>
      <w:pPr>
        <w:pStyle w:val="Flietext1"/>
        <w:keepNext w:val="false"/>
        <w:keepLines w:val="false"/>
        <w:widowControl w:val="false"/>
        <w:shd w:val="clear" w:color="auto" w:fill="auto"/>
        <w:bidi w:val="0"/>
        <w:spacing w:before="0" w:after="280"/>
        <w:ind w:left="620" w:right="0" w:hanging="300"/>
        <w:jc w:val="left"/>
        <w:rPr/>
      </w:pPr>
      <w:r>
        <w:rPr>
          <w:color w:val="000000"/>
          <w:spacing w:val="0"/>
          <w:w w:val="100"/>
          <w:shd w:fill="auto" w:val="clear"/>
          <w:lang w:val="en-US" w:eastAsia="en-US" w:bidi="en-US"/>
        </w:rPr>
        <w:t xml:space="preserve">• </w:t>
      </w:r>
      <w:r>
        <w:rPr>
          <w:color w:val="000000"/>
          <w:spacing w:val="0"/>
          <w:w w:val="100"/>
          <w:shd w:fill="auto" w:val="clear"/>
          <w:lang w:val="en-US" w:eastAsia="en-US" w:bidi="en-US"/>
        </w:rPr>
        <w:t>kein notwendiger Nachweis einer konkreten förmlichen Einwilligungserklärung des Kindes in den „Vertrag“ der Kind-Eltern-Beziehung vorliegt.</w:t>
      </w:r>
    </w:p>
    <w:p>
      <w:pPr>
        <w:pStyle w:val="Flietext1"/>
        <w:keepNext w:val="false"/>
        <w:keepLines w:val="false"/>
        <w:widowControl w:val="false"/>
        <w:numPr>
          <w:ilvl w:val="0"/>
          <w:numId w:val="66"/>
        </w:numPr>
        <w:shd w:val="clear" w:color="auto" w:fill="auto"/>
        <w:tabs>
          <w:tab w:val="clear" w:pos="720"/>
          <w:tab w:val="left" w:pos="592" w:leader="none"/>
        </w:tabs>
        <w:bidi w:val="0"/>
        <w:spacing w:lineRule="auto" w:line="259" w:before="0" w:after="0"/>
        <w:ind w:left="620" w:right="0" w:hanging="300"/>
        <w:jc w:val="left"/>
        <w:rPr/>
      </w:pPr>
      <w:r>
        <w:rPr>
          <w:color w:val="000000"/>
          <w:spacing w:val="0"/>
          <w:w w:val="100"/>
          <w:shd w:fill="auto" w:val="clear"/>
          <w:lang w:val="en-US" w:eastAsia="en-US" w:bidi="en-US"/>
        </w:rPr>
        <w:t>selbst wenn dies der Fall wäre, wäre es wertlos, da das Kind noch nicht das Alter erreicht hat, um ein vollständig rationaler moralischer Akteur zu sein, der sich durch eine solche Zustimmung verpflichten könnte</w:t>
      </w:r>
    </w:p>
    <w:p>
      <w:pPr>
        <w:pStyle w:val="Flietext1"/>
        <w:keepNext w:val="false"/>
        <w:keepLines w:val="false"/>
        <w:widowControl w:val="false"/>
        <w:numPr>
          <w:ilvl w:val="0"/>
          <w:numId w:val="66"/>
        </w:numPr>
        <w:shd w:val="clear" w:color="auto" w:fill="auto"/>
        <w:tabs>
          <w:tab w:val="clear" w:pos="720"/>
          <w:tab w:val="left" w:pos="592" w:leader="none"/>
        </w:tabs>
        <w:bidi w:val="0"/>
        <w:spacing w:lineRule="auto" w:line="259" w:before="0" w:after="0"/>
        <w:ind w:left="620" w:right="0" w:hanging="300"/>
        <w:jc w:val="left"/>
        <w:rPr/>
      </w:pPr>
      <w:r>
        <w:rPr>
          <w:color w:val="000000"/>
          <w:spacing w:val="0"/>
          <w:w w:val="100"/>
          <w:shd w:fill="auto" w:val="clear"/>
          <w:lang w:val="en-US" w:eastAsia="en-US" w:bidi="en-US"/>
        </w:rPr>
        <w:t>Wir müssen daher nicht auf das Individuum und nicht auf formelle Zustimmungshandlungen schauen, sondern auf die Beziehung selbst, um zu sehen, ob es so ist, dass ein vernünftiges Individuum ihr zustimmen muss</w:t>
      </w:r>
    </w:p>
    <w:p>
      <w:pPr>
        <w:pStyle w:val="Flietext1"/>
        <w:keepNext w:val="false"/>
        <w:keepLines w:val="false"/>
        <w:widowControl w:val="false"/>
        <w:numPr>
          <w:ilvl w:val="0"/>
          <w:numId w:val="66"/>
        </w:numPr>
        <w:shd w:val="clear" w:color="auto" w:fill="auto"/>
        <w:tabs>
          <w:tab w:val="clear" w:pos="720"/>
          <w:tab w:val="left" w:pos="592" w:leader="none"/>
        </w:tabs>
        <w:bidi w:val="0"/>
        <w:spacing w:lineRule="auto" w:line="259" w:before="0" w:after="0"/>
        <w:ind w:left="0" w:right="0" w:firstLine="260"/>
        <w:jc w:val="left"/>
        <w:rPr/>
      </w:pPr>
      <w:r>
        <w:rPr>
          <w:color w:val="000000"/>
          <w:spacing w:val="0"/>
          <w:w w:val="100"/>
          <w:shd w:fill="auto" w:val="clear"/>
          <w:lang w:val="en-US" w:eastAsia="en-US" w:bidi="en-US"/>
        </w:rPr>
        <w:t>die Kind-Eltern-Beziehung ist eine solche Beziehung</w:t>
      </w:r>
    </w:p>
    <w:p>
      <w:pPr>
        <w:pStyle w:val="Flietext1"/>
        <w:keepNext w:val="false"/>
        <w:keepLines w:val="false"/>
        <w:widowControl w:val="false"/>
        <w:numPr>
          <w:ilvl w:val="0"/>
          <w:numId w:val="66"/>
        </w:numPr>
        <w:shd w:val="clear" w:color="auto" w:fill="auto"/>
        <w:tabs>
          <w:tab w:val="clear" w:pos="720"/>
          <w:tab w:val="left" w:pos="592" w:leader="none"/>
        </w:tabs>
        <w:bidi w:val="0"/>
        <w:spacing w:lineRule="auto" w:line="259" w:before="0" w:after="280"/>
        <w:ind w:left="620" w:right="0" w:hanging="300"/>
        <w:jc w:val="left"/>
        <w:rPr/>
      </w:pPr>
      <w:r>
        <w:rPr>
          <w:color w:val="000000"/>
          <w:spacing w:val="0"/>
          <w:w w:val="100"/>
          <w:shd w:fill="auto" w:val="clear"/>
          <w:lang w:val="en-US" w:eastAsia="en-US" w:bidi="en-US"/>
        </w:rPr>
        <w:t>daher stimmt das Kind der Beziehung zu. Wenn er die volle Vernunft eines Erwachsenen besäße, würde er zustimmen; daher basiert seine Bindung, obwohl es nicht die freie rationale Zustimmung eines Erwachsenen sein kann, dennoch auf Zustimmung und ist daher vertraglich; und da diese unterstellte oder mutmaßliche Zustimmung auf einer völlig rationalen Grundlage beruht, hat sie das gleiche Gewicht und den gleichen Wert wie eine tatsächliche formelle Zustimmung.</w:t>
      </w:r>
    </w:p>
    <w:p>
      <w:pPr>
        <w:pStyle w:val="Flietext21"/>
        <w:keepNext w:val="false"/>
        <w:keepLines w:val="false"/>
        <w:widowControl w:val="false"/>
        <w:numPr>
          <w:ilvl w:val="0"/>
          <w:numId w:val="65"/>
        </w:numPr>
        <w:shd w:val="clear" w:color="auto" w:fill="auto"/>
        <w:tabs>
          <w:tab w:val="clear" w:pos="720"/>
          <w:tab w:val="left" w:pos="620" w:leader="none"/>
        </w:tabs>
        <w:bidi w:val="0"/>
        <w:spacing w:lineRule="auto" w:line="213" w:before="0" w:after="200"/>
        <w:ind w:left="0" w:right="0" w:firstLine="320"/>
        <w:jc w:val="left"/>
        <w:rPr/>
      </w:pPr>
      <w:r>
        <w:rPr>
          <w:color w:val="000000"/>
          <w:spacing w:val="0"/>
          <w:w w:val="100"/>
          <w:shd w:fill="auto" w:val="clear"/>
          <w:lang w:val="en-US" w:eastAsia="en-US" w:bidi="en-US"/>
        </w:rPr>
        <w:t>Samuel Pufendorf, Naturgesetz des Menschen, Buch. VI, Kap. II Nr. 4; zitiert in Derathe, Rousseau und die Politikwissenschaft seiner Zeit, S. 188.</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Es könnte sein, dass etwas in der Art hinter Hobbes' so oft belächelter flüchtiger Behauptung steckt, dass die Quelle der elterlichen Autorität vertraglich ist.721 Das siebzehnte und achtzehnte Jahrhundert, das zwischen mittelalterlichem Naturrecht und Utilitarismus des neunzehnten Jahrhunderts liegt, enthält eine Mischung von Argumenten selbstverständliche moralische Aussagen und Verweise auf individuellen Gewinn. Die Frage ist, ob derselbe Rahmen sinnvollerweise auf breiterer Ebene als anwendbar angesehen werden kann – nicht nur Kinder, sondern alle Personen können davon ausgegangen werden, dass sie gebunden sind, weil sie zugestimmt hätten, wenn sie vollständig vernünftig und vollständig informiert gewesen wären. Das impliziert dann zwar, dass jeder, der die rationalen Gründe für eine notwendige Einwilligung nicht sieht, nicht ganz rational ist und daher auf der gleichen Grundlage wie Pufendorfs Kind an eine „vermutete“ Einwilligung gebunden werden kann, aber dies repliziert nur die Zirkularität des Naturrechts.“ richtigen Grund.“ (Rechte Vernunft ist die Vernunft, die das Naturrecht erfasst; Naturrecht sind die Verhaltensregeln, die von der rechten Vernunft erfasst werden.)</w:t>
      </w:r>
    </w:p>
    <w:p>
      <w:pPr>
        <w:pStyle w:val="Flietext1"/>
        <w:keepNext w:val="false"/>
        <w:keepLines w:val="false"/>
        <w:widowControl w:val="false"/>
        <w:shd w:val="clear" w:color="auto" w:fill="auto"/>
        <w:bidi w:val="0"/>
        <w:spacing w:before="0" w:after="280"/>
        <w:ind w:left="0" w:right="0" w:firstLine="320"/>
        <w:jc w:val="both"/>
        <w:rPr/>
      </w:pPr>
      <w:r>
        <w:rPr>
          <w:color w:val="000000"/>
          <w:spacing w:val="0"/>
          <w:w w:val="100"/>
          <w:shd w:fill="auto" w:val="clear"/>
          <w:lang w:val="en-US" w:eastAsia="en-US" w:bidi="en-US"/>
        </w:rPr>
        <w:t>Derathes Absicht, dieses Zitat zu verwenden, besteht darin, Rousseaus Sicht auf die Familie der von Pufendorf gegenüberzustellen; Viele Vertragsparteien gründeten alle Autorität, sowohl politische als auch väterliche, auf Zustimmung, aber Rousseau tat dies ausdrücklich nicht.</w:t>
      </w:r>
    </w:p>
    <w:p>
      <w:pPr>
        <w:pStyle w:val="Flietext1"/>
        <w:keepNext w:val="false"/>
        <w:keepLines w:val="false"/>
        <w:widowControl w:val="false"/>
        <w:shd w:val="clear" w:color="auto" w:fill="auto"/>
        <w:bidi w:val="0"/>
        <w:spacing w:before="0" w:after="260"/>
        <w:ind w:left="260" w:right="0" w:firstLine="360"/>
        <w:jc w:val="left"/>
        <w:rPr/>
      </w:pPr>
      <w:r>
        <w:rPr>
          <w:i/>
          <w:iCs/>
          <w:color w:val="000000"/>
          <w:spacing w:val="0"/>
          <w:w w:val="100"/>
          <w:shd w:fill="auto" w:val="clear"/>
          <w:vertAlign w:val="superscript"/>
          <w:lang w:val="de-DE" w:eastAsia="de-DE" w:bidi="de-DE"/>
        </w:rPr>
        <w:t>So interessant Pufendorfs Argumentation auch sein mag, sie ist Rousseau nicht aufgefallen, der die väterliche Gewalt in keiner Weise auf einen Vertrag gründet und damit von der in der Schule des Naturrechts akzeptierten Theorie abweicht. Für Rousseau ist die Familie keine durch einen Pakt errichtete menschliche Einrichtung, sondern eine natürliche Gesellschaft.</w:t>
      </w:r>
    </w:p>
    <w:p>
      <w:pPr>
        <w:pStyle w:val="Flietext21"/>
        <w:keepNext w:val="false"/>
        <w:keepLines w:val="false"/>
        <w:widowControl w:val="false"/>
        <w:numPr>
          <w:ilvl w:val="0"/>
          <w:numId w:val="65"/>
        </w:numPr>
        <w:shd w:val="clear" w:color="auto" w:fill="auto"/>
        <w:tabs>
          <w:tab w:val="clear" w:pos="720"/>
          <w:tab w:val="left" w:pos="700" w:leader="none"/>
        </w:tabs>
        <w:bidi w:val="0"/>
        <w:spacing w:lineRule="auto" w:line="240" w:before="0" w:after="200"/>
        <w:ind w:left="0" w:right="0" w:firstLine="260"/>
        <w:jc w:val="left"/>
        <w:rPr/>
      </w:pPr>
      <w:r>
        <w:rPr>
          <w:color w:val="000000"/>
          <w:spacing w:val="0"/>
          <w:w w:val="100"/>
          <w:shd w:fill="auto" w:val="clear"/>
          <w:lang w:val="de-DE" w:eastAsia="de-DE" w:bidi="de-DE"/>
        </w:rPr>
        <w:t>siehe Derathe, op.cit., p. 188.</w:t>
      </w:r>
    </w:p>
    <w:p>
      <w:pPr>
        <w:sectPr>
          <w:footerReference w:type="even" r:id="rId41"/>
          <w:footerReference w:type="default" r:id="rId42"/>
          <w:type w:val="nextPage"/>
          <w:pgSz w:w="12240" w:h="15840"/>
          <w:pgMar w:left="1487" w:right="1484" w:gutter="0" w:header="0" w:top="1427" w:footer="973" w:bottom="1401"/>
          <w:pgNumType w:fmt="decimal"/>
          <w:formProt w:val="false"/>
          <w:textDirection w:val="lrTb"/>
          <w:docGrid w:type="default" w:linePitch="360" w:charSpace="0"/>
        </w:sectPr>
        <w:pStyle w:val="Flietext1"/>
        <w:keepNext w:val="false"/>
        <w:keepLines w:val="false"/>
        <w:widowControl w:val="false"/>
        <w:shd w:val="clear" w:color="auto" w:fill="auto"/>
        <w:bidi w:val="0"/>
        <w:spacing w:lineRule="auto" w:line="252" w:before="0" w:after="240"/>
        <w:ind w:left="0" w:right="0" w:hanging="0"/>
        <w:jc w:val="left"/>
        <w:rPr/>
      </w:pPr>
      <w:r>
        <w:rPr>
          <w:color w:val="000000"/>
          <w:spacing w:val="0"/>
          <w:w w:val="100"/>
          <w:shd w:fill="auto" w:val="clear"/>
          <w:lang w:val="de-DE" w:eastAsia="de-DE" w:bidi="de-DE"/>
        </w:rPr>
        <w:t>In dieser Dissertation wurde vorgeschlagen, dass das Argument von Pufendorf viel mehr Raum einnehmen kann, als nur die Natur der väterlichen Autorität zu erklären.</w:t>
      </w:r>
    </w:p>
    <w:p>
      <w:pPr>
        <w:pStyle w:val="Berschrift11"/>
        <w:keepNext w:val="true"/>
        <w:keepLines/>
        <w:widowControl w:val="false"/>
        <w:shd w:val="clear" w:color="auto" w:fill="auto"/>
        <w:bidi w:val="0"/>
        <w:spacing w:lineRule="auto" w:line="240" w:before="0" w:after="440"/>
        <w:ind w:left="0" w:right="0" w:hanging="0"/>
        <w:jc w:val="center"/>
        <w:rPr/>
      </w:pPr>
      <w:hyperlink w:anchor="bookmark22" w:tgtFrame="Current Document">
        <w:bookmarkStart w:id="62" w:name="bookmark71"/>
        <w:bookmarkStart w:id="63" w:name="bookmark73"/>
        <w:bookmarkStart w:id="64" w:name="bookmark72"/>
        <w:r>
          <w:rPr>
            <w:spacing w:val="0"/>
            <w:w w:val="100"/>
            <w:shd w:fill="auto" w:val="clear"/>
            <w:lang w:val="en-US" w:eastAsia="en-US" w:bidi="en-US"/>
          </w:rPr>
          <w:t>Anhang VI</w:t>
          <w:br/>
          <w:t>Rousseau und Platon</w:t>
        </w:r>
      </w:hyperlink>
      <w:bookmarkEnd w:id="62"/>
      <w:bookmarkEnd w:id="63"/>
      <w:bookmarkEnd w:id="64"/>
    </w:p>
    <w:p>
      <w:pPr>
        <w:pStyle w:val="Flietext1"/>
        <w:keepNext w:val="false"/>
        <w:keepLines w:val="false"/>
        <w:widowControl w:val="false"/>
        <w:shd w:val="clear" w:color="auto" w:fill="auto"/>
        <w:bidi w:val="0"/>
        <w:spacing w:lineRule="auto" w:line="252" w:before="0" w:after="0"/>
        <w:ind w:left="0" w:right="0" w:firstLine="320"/>
        <w:jc w:val="both"/>
        <w:rPr/>
      </w:pPr>
      <w:r>
        <w:rPr>
          <w:color w:val="000000"/>
          <w:spacing w:val="0"/>
          <w:w w:val="100"/>
          <w:shd w:fill="auto" w:val="clear"/>
          <w:lang w:val="en-US" w:eastAsia="en-US" w:bidi="en-US"/>
        </w:rPr>
        <w:t>Liest man sich die Literatur über Rousseau durch, fällt einem die Häufigkeit der Verweise auf Platon auf. Um einige Beispiele zu betrachten: Der Vergleich des Gesetzgebers mit den Philosophenkönigen ist alltäglich. Shklar weist darauf hin, dass Plato einer der größten Einflüsse auf Rousseau war.568 Talmon vergleicht die volonte generale und die platonischen Formen.569 Pickles spricht von Rousseaus „platonischem Pessimismus“.570 De Jouvenal spricht von Rousseaus legitimem Staat als „einer Republik“.571 McDonald glaubt, dass Rousseaus kleiner Staat eher „Platos idealer Staat“ als eine moderne totalitäre Diktatur ist.572 Fireside bezeichnet den Gebrauch der Religion durch den Gesetzgeber, um Akzeptanz für seine Verfassungsempfehlungen zu erlangen, als „königlichen Schwindel“, der eindeutig an Platons „edle Lüge“ erinnert. „728 Chapman findet bei Rousseau eine Spannung zwischen der „radikalen christlichen Betonung der moralischen Kreativität und der platonischen Bereitschaft, dem menschlichen Leben Ordnung und Werte aufzuerlegen.“729 Und so weiter.</w:t>
      </w:r>
    </w:p>
    <w:p>
      <w:pPr>
        <w:pStyle w:val="Flietext1"/>
        <w:keepNext w:val="false"/>
        <w:keepLines w:val="false"/>
        <w:widowControl w:val="false"/>
        <w:shd w:val="clear" w:color="auto" w:fill="auto"/>
        <w:bidi w:val="0"/>
        <w:spacing w:before="0" w:after="0"/>
        <w:ind w:left="0" w:right="0" w:firstLine="320"/>
        <w:jc w:val="both"/>
        <w:rPr/>
      </w:pPr>
      <w:r>
        <w:rPr>
          <w:color w:val="000000"/>
          <w:spacing w:val="0"/>
          <w:w w:val="100"/>
          <w:shd w:fill="auto" w:val="clear"/>
          <w:lang w:val="en-US" w:eastAsia="en-US" w:bidi="en-US"/>
        </w:rPr>
        <w:t>Es fällt kaum auf, dass diese Referenzen so zahlreich sind, da es bemerkenswerte Parallelen zwischen Platons Republik und Rousseaus Du Contrat Social gibt. Beiden geht es um Tugend und um Gerechtigkeit. Beide sprechen von einem idealen Staat und beide sorgen sich um das Problem seiner Verwirklichung, beide beziehen sich auf eine Deus-ex-machina-Figur, die unterschiedlich als Philosophenkönig oder Gesetzgeber bezeichnet wird, die beide als halbgöttlich beschreiben, aber beide sehr skizzenhaft sind Ursprünge davon. Beide haben große Zweifel an den Aussichten für Veränderungen, sind pessimistisch hinsichtlich der Wahrscheinlichkeit der Korruption selbst des idealen Staates und bereit, eine statische Gesellschaft als Notlösung zu übernehmen. Beide haben das Bedürfnis, die menschliche Seele von einigen der Begierden und Begierden zu befreien, die sie bei ihren Zeitgenossen als Teil des Projekts zur Schaffung des idealen Zustands beobachten.</w:t>
      </w:r>
    </w:p>
    <w:p>
      <w:pPr>
        <w:pStyle w:val="Flietext21"/>
        <w:keepNext w:val="false"/>
        <w:keepLines w:val="false"/>
        <w:widowControl w:val="false"/>
        <w:numPr>
          <w:ilvl w:val="0"/>
          <w:numId w:val="67"/>
        </w:numPr>
        <w:shd w:val="clear" w:color="auto" w:fill="auto"/>
        <w:tabs>
          <w:tab w:val="clear" w:pos="720"/>
          <w:tab w:val="left" w:pos="653" w:leader="none"/>
        </w:tabs>
        <w:bidi w:val="0"/>
        <w:spacing w:lineRule="auto" w:line="213" w:before="0" w:after="0"/>
        <w:ind w:left="0" w:right="0" w:firstLine="260"/>
        <w:jc w:val="both"/>
        <w:rPr/>
      </w:pPr>
      <w:r>
        <w:rPr>
          <w:color w:val="000000"/>
          <w:spacing w:val="0"/>
          <w:w w:val="100"/>
          <w:shd w:fill="auto" w:val="clear"/>
          <w:lang w:val="en-US" w:eastAsia="en-US" w:bidi="en-US"/>
        </w:rPr>
        <w:t>Harvey F. Fireside, „Das Konzept des Gesetzgebers in Rousseaus Gesellschaftsvertrag“, in The Review of Politics, Band XXXII (April 1970), p. 195.</w:t>
      </w:r>
    </w:p>
    <w:p>
      <w:pPr>
        <w:pStyle w:val="Flietext21"/>
        <w:keepNext w:val="false"/>
        <w:keepLines w:val="false"/>
        <w:widowControl w:val="false"/>
        <w:numPr>
          <w:ilvl w:val="0"/>
          <w:numId w:val="67"/>
        </w:numPr>
        <w:shd w:val="clear" w:color="auto" w:fill="auto"/>
        <w:tabs>
          <w:tab w:val="clear" w:pos="720"/>
          <w:tab w:val="left" w:pos="688" w:leader="none"/>
        </w:tabs>
        <w:bidi w:val="0"/>
        <w:spacing w:lineRule="auto" w:line="192" w:before="0" w:after="200"/>
        <w:ind w:left="0" w:right="0" w:firstLine="260"/>
        <w:jc w:val="both"/>
        <w:rPr/>
      </w:pPr>
      <w:r>
        <w:rPr>
          <w:color w:val="000000"/>
          <w:spacing w:val="0"/>
          <w:w w:val="100"/>
          <w:shd w:fill="auto" w:val="clear"/>
          <w:lang w:val="en-US" w:eastAsia="en-US" w:bidi="en-US"/>
        </w:rPr>
        <w:t>Chapman, Rousseau, S. 73.</w:t>
      </w:r>
    </w:p>
    <w:p>
      <w:pPr>
        <w:pStyle w:val="Flietext1"/>
        <w:keepNext w:val="false"/>
        <w:keepLines w:val="false"/>
        <w:widowControl w:val="false"/>
        <w:shd w:val="clear" w:color="auto" w:fill="auto"/>
        <w:bidi w:val="0"/>
        <w:spacing w:before="0" w:after="0"/>
        <w:ind w:left="0" w:right="0" w:firstLine="260"/>
        <w:jc w:val="both"/>
        <w:rPr/>
      </w:pPr>
      <w:r>
        <w:rPr>
          <w:color w:val="000000"/>
          <w:spacing w:val="0"/>
          <w:w w:val="100"/>
          <w:shd w:fill="auto" w:val="clear"/>
          <w:lang w:val="en-US" w:eastAsia="en-US" w:bidi="en-US"/>
        </w:rPr>
        <w:t>Tatsächlich ist sogar der Verlauf ihrer Argumentation auffallend parallel. Beide beginnen mit einer eher formalen Beschreibung der Grundlagen und Ursprünge des Staates730. Beide leiten aus dieser Grundlage den Idealzustand ab731. Danach beschreiben beide die Vielfalt unterschiedlicher politischer Formen732 und verbinden dies dann mit einer pessimistischen Einschätzung der Aussichten auf einen eigenen legitimierten Staat, selbst wenn dieser verwirklicht werden sollte733. Und schließlich beenden beide ihre Darstellungen mit einer Behandlung der Religion, die ihre offensichtlich utilitaristische Verwendung beinhaltet, um das Argument zu untermauern, das bereits auf ganz unabhängigen Gründen begründet wurde734.</w:t>
      </w:r>
    </w:p>
    <w:p>
      <w:pPr>
        <w:pStyle w:val="Flietext1"/>
        <w:keepNext w:val="false"/>
        <w:keepLines w:val="false"/>
        <w:widowControl w:val="false"/>
        <w:shd w:val="clear" w:color="auto" w:fill="auto"/>
        <w:bidi w:val="0"/>
        <w:spacing w:before="0" w:after="300"/>
        <w:ind w:left="0" w:right="0" w:firstLine="260"/>
        <w:jc w:val="both"/>
        <w:rPr/>
      </w:pPr>
      <w:r>
        <w:rPr>
          <w:i/>
          <w:iCs/>
          <w:color w:val="000000"/>
          <w:spacing w:val="0"/>
          <w:w w:val="100"/>
          <w:shd w:fill="auto" w:val="clear"/>
          <w:lang w:val="en-US" w:eastAsia="en-US" w:bidi="en-US"/>
        </w:rPr>
        <w:t>Zugegeben, die Parallele kann nicht ganz verschoben werden, da jeder Merkmale und „Abschnitte“ aufweist, die dem anderen fehlen. Platon präsentiert eine Erkenntnistheorie735, Rousseau tut dies nie. Plato ist viel mehr darauf bedacht, den Bildungsprozess detailliert darzustellen568 und Rousseau nicht, vielleicht weil Rousseau ein ähnliches Thema noch ausführlicher im Emile569 entwickelt. Und Rousseau ist offensichtlich weniger pessimistisch als Platon, da er (ungefähr) Bk III/xii bis IV widmet /vii zu Ratschlägen, wie man den idealen Zustand aufrechterhält, wohingegen Platons schwerere Düsternis einen solchen Abschnitt ausschließt. Platon hatte im Grunde genommen keinerlei Interesse an Zustimmung jeglicher Art, während Rousseau sich offenbar nicht auf irgendeinen Grad an Elitismus festzulegen scheint, der der Schichtung der Republik entspricht.</w:t>
      </w:r>
    </w:p>
    <w:p>
      <w:pPr>
        <w:pStyle w:val="Flietext21"/>
        <w:keepNext w:val="false"/>
        <w:keepLines w:val="false"/>
        <w:widowControl w:val="false"/>
        <w:numPr>
          <w:ilvl w:val="0"/>
          <w:numId w:val="67"/>
        </w:numPr>
        <w:shd w:val="clear" w:color="auto" w:fill="auto"/>
        <w:tabs>
          <w:tab w:val="clear" w:pos="720"/>
          <w:tab w:val="left" w:pos="668" w:leader="none"/>
        </w:tabs>
        <w:bidi w:val="0"/>
        <w:spacing w:lineRule="auto" w:line="192" w:before="0" w:after="0"/>
        <w:ind w:left="0" w:right="0" w:firstLine="240"/>
        <w:jc w:val="left"/>
        <w:rPr/>
      </w:pPr>
      <w:r>
        <w:rPr>
          <w:color w:val="000000"/>
          <w:spacing w:val="0"/>
          <w:w w:val="100"/>
          <w:shd w:fill="auto" w:val="clear"/>
          <w:lang w:val="en-US" w:eastAsia="en-US" w:bidi="en-US"/>
        </w:rPr>
        <w:t>Platon, Republik, Bk. ICH; Rousseau, Du Contrat Social, Bk. ich ch. ich-vi</w:t>
      </w:r>
    </w:p>
    <w:p>
      <w:pPr>
        <w:pStyle w:val="Flietext21"/>
        <w:keepNext w:val="false"/>
        <w:keepLines w:val="false"/>
        <w:widowControl w:val="false"/>
        <w:numPr>
          <w:ilvl w:val="0"/>
          <w:numId w:val="67"/>
        </w:numPr>
        <w:shd w:val="clear" w:color="auto" w:fill="auto"/>
        <w:tabs>
          <w:tab w:val="clear" w:pos="720"/>
          <w:tab w:val="left" w:pos="668" w:leader="none"/>
        </w:tabs>
        <w:bidi w:val="0"/>
        <w:spacing w:lineRule="auto" w:line="192" w:before="0" w:after="0"/>
        <w:ind w:left="0" w:right="0" w:firstLine="240"/>
        <w:jc w:val="left"/>
        <w:rPr/>
      </w:pPr>
      <w:r>
        <w:rPr>
          <w:color w:val="000000"/>
          <w:spacing w:val="0"/>
          <w:w w:val="100"/>
          <w:shd w:fill="auto" w:val="clear"/>
          <w:lang w:val="en-US" w:eastAsia="en-US" w:bidi="en-US"/>
        </w:rPr>
        <w:t>Platon, Buch IV &amp; V; Rousseau, Buch 11</w:t>
      </w:r>
    </w:p>
    <w:p>
      <w:pPr>
        <w:pStyle w:val="Flietext21"/>
        <w:keepNext w:val="false"/>
        <w:keepLines w:val="false"/>
        <w:widowControl w:val="false"/>
        <w:numPr>
          <w:ilvl w:val="0"/>
          <w:numId w:val="67"/>
        </w:numPr>
        <w:shd w:val="clear" w:color="auto" w:fill="auto"/>
        <w:tabs>
          <w:tab w:val="clear" w:pos="720"/>
          <w:tab w:val="left" w:pos="668" w:leader="none"/>
        </w:tabs>
        <w:bidi w:val="0"/>
        <w:spacing w:lineRule="auto" w:line="192" w:before="0" w:after="0"/>
        <w:ind w:left="0" w:right="0" w:firstLine="240"/>
        <w:jc w:val="left"/>
        <w:rPr/>
      </w:pPr>
      <w:r>
        <w:rPr>
          <w:color w:val="000000"/>
          <w:spacing w:val="0"/>
          <w:w w:val="100"/>
          <w:shd w:fill="auto" w:val="clear"/>
          <w:lang w:val="en-US" w:eastAsia="en-US" w:bidi="en-US"/>
        </w:rPr>
        <w:t>Platon, Buch VIII; Rousseau, Bk III ch. i-viii</w:t>
      </w:r>
    </w:p>
    <w:p>
      <w:pPr>
        <w:pStyle w:val="Flietext21"/>
        <w:keepNext w:val="false"/>
        <w:keepLines w:val="false"/>
        <w:widowControl w:val="false"/>
        <w:numPr>
          <w:ilvl w:val="0"/>
          <w:numId w:val="67"/>
        </w:numPr>
        <w:shd w:val="clear" w:color="auto" w:fill="auto"/>
        <w:tabs>
          <w:tab w:val="clear" w:pos="720"/>
          <w:tab w:val="left" w:pos="668" w:leader="none"/>
        </w:tabs>
        <w:bidi w:val="0"/>
        <w:spacing w:lineRule="auto" w:line="192" w:before="0" w:after="0"/>
        <w:ind w:left="0" w:right="0" w:firstLine="240"/>
        <w:jc w:val="left"/>
        <w:rPr/>
      </w:pPr>
      <w:r>
        <w:rPr>
          <w:color w:val="000000"/>
          <w:spacing w:val="0"/>
          <w:w w:val="100"/>
          <w:shd w:fill="auto" w:val="clear"/>
          <w:lang w:val="en-US" w:eastAsia="en-US" w:bidi="en-US"/>
        </w:rPr>
        <w:t>Platon, Bk VIII passim; Rousseau, Bk III ch. x, xi</w:t>
      </w:r>
    </w:p>
    <w:p>
      <w:pPr>
        <w:pStyle w:val="Flietext21"/>
        <w:keepNext w:val="false"/>
        <w:keepLines w:val="false"/>
        <w:widowControl w:val="false"/>
        <w:numPr>
          <w:ilvl w:val="0"/>
          <w:numId w:val="67"/>
        </w:numPr>
        <w:shd w:val="clear" w:color="auto" w:fill="auto"/>
        <w:tabs>
          <w:tab w:val="clear" w:pos="720"/>
          <w:tab w:val="left" w:pos="668" w:leader="none"/>
        </w:tabs>
        <w:bidi w:val="0"/>
        <w:spacing w:lineRule="auto" w:line="192" w:before="0" w:after="0"/>
        <w:ind w:left="0" w:right="0" w:firstLine="240"/>
        <w:jc w:val="left"/>
        <w:rPr/>
      </w:pPr>
      <w:r>
        <w:rPr>
          <w:color w:val="000000"/>
          <w:spacing w:val="0"/>
          <w:w w:val="100"/>
          <w:shd w:fill="auto" w:val="clear"/>
          <w:lang w:val="en-US" w:eastAsia="en-US" w:bidi="en-US"/>
        </w:rPr>
        <w:t>Platon, Bk X, Ende; Rousseau, Buch IV, Kap. vm</w:t>
      </w:r>
    </w:p>
    <w:p>
      <w:pPr>
        <w:pStyle w:val="Flietext21"/>
        <w:keepNext w:val="false"/>
        <w:keepLines w:val="false"/>
        <w:widowControl w:val="false"/>
        <w:numPr>
          <w:ilvl w:val="0"/>
          <w:numId w:val="67"/>
        </w:numPr>
        <w:shd w:val="clear" w:color="auto" w:fill="auto"/>
        <w:tabs>
          <w:tab w:val="clear" w:pos="720"/>
          <w:tab w:val="left" w:pos="668" w:leader="none"/>
        </w:tabs>
        <w:bidi w:val="0"/>
        <w:spacing w:lineRule="auto" w:line="192" w:before="0" w:after="200"/>
        <w:ind w:left="0" w:right="0" w:firstLine="240"/>
        <w:jc w:val="left"/>
        <w:rPr/>
      </w:pPr>
      <w:r>
        <w:rPr>
          <w:color w:val="000000"/>
          <w:spacing w:val="0"/>
          <w:w w:val="100"/>
          <w:shd w:fill="auto" w:val="clear"/>
          <w:lang w:val="en-US" w:eastAsia="en-US" w:bidi="en-US"/>
        </w:rPr>
        <w:t>Bücher VI, VII</w:t>
      </w:r>
    </w:p>
    <w:p>
      <w:pPr>
        <w:sectPr>
          <w:footerReference w:type="even" r:id="rId43"/>
          <w:footerReference w:type="default" r:id="rId44"/>
          <w:type w:val="nextPage"/>
          <w:pgSz w:w="12240" w:h="15840"/>
          <w:pgMar w:left="1482" w:right="1488" w:gutter="0" w:header="0" w:top="1421" w:footer="1004" w:bottom="1432"/>
          <w:pgNumType w:fmt="decimal"/>
          <w:formProt w:val="false"/>
          <w:textDirection w:val="lrTb"/>
          <w:docGrid w:type="default" w:linePitch="360" w:charSpace="0"/>
        </w:sectPr>
        <w:pStyle w:val="Flietext1"/>
        <w:keepNext w:val="false"/>
        <w:keepLines w:val="false"/>
        <w:widowControl w:val="false"/>
        <w:shd w:val="clear" w:color="auto" w:fill="auto"/>
        <w:bidi w:val="0"/>
        <w:spacing w:lineRule="auto" w:line="259" w:before="0" w:after="0"/>
        <w:ind w:left="0" w:right="0" w:firstLine="260"/>
        <w:jc w:val="both"/>
        <w:rPr>
          <w:sz w:val="22"/>
          <w:szCs w:val="22"/>
        </w:rPr>
      </w:pPr>
      <w:r>
        <w:rPr>
          <w:rStyle w:val="Flietext2"/>
          <w:i/>
          <w:iCs/>
          <w:sz w:val="22"/>
          <w:szCs w:val="22"/>
        </w:rPr>
        <w:t>Rousseau ist weder Platon, noch ist Du Contrat Social lediglich eine Version von Republic aus dem 18. Jahrhundert, aber die Ähnlichkeiten zwischen ihnen sind so groß, dass sie mehr als bloßen Zufall nahelegen, und dies kann nützliche Hinweise auf die Stimmung und den Zweck von Rousseau bei entscheidenden und anderen geben mehrdeutige Punkte. in einer Fußnote auf S. 165, dass es eine Parallele zwischen Republic, Bk. VIII 543-IX 576 (Untergang des Idealstaates) und die Deuxiäme-Diskurs.</w:t>
      </w:r>
    </w:p>
    <w:p>
      <w:pPr>
        <w:pStyle w:val="Berschrift11"/>
        <w:keepNext w:val="true"/>
        <w:keepLines/>
        <w:widowControl w:val="false"/>
        <w:shd w:val="clear" w:color="auto" w:fill="auto"/>
        <w:bidi w:val="0"/>
        <w:spacing w:lineRule="auto" w:line="240" w:before="0" w:after="440"/>
        <w:ind w:left="0" w:right="0" w:hanging="0"/>
        <w:jc w:val="center"/>
        <w:rPr/>
      </w:pPr>
      <w:hyperlink w:anchor="bookmark23" w:tgtFrame="Current Document">
        <w:bookmarkStart w:id="65" w:name="bookmark74"/>
        <w:bookmarkStart w:id="66" w:name="bookmark76"/>
        <w:bookmarkStart w:id="67" w:name="bookmark75"/>
        <w:r>
          <w:rPr>
            <w:b w:val="false"/>
            <w:bCs w:val="false"/>
            <w:spacing w:val="0"/>
            <w:w w:val="100"/>
            <w:shd w:fill="auto" w:val="clear"/>
            <w:lang w:val="en-US" w:eastAsia="en-US" w:bidi="en-US"/>
          </w:rPr>
          <w:t>LITERATURVERZEICHNIS</w:t>
        </w:r>
      </w:hyperlink>
      <w:bookmarkEnd w:id="65"/>
      <w:bookmarkEnd w:id="66"/>
      <w:bookmarkEnd w:id="67"/>
    </w:p>
    <w:p>
      <w:pPr>
        <w:pStyle w:val="Flietext1"/>
        <w:keepNext w:val="false"/>
        <w:keepLines w:val="false"/>
        <w:widowControl w:val="false"/>
        <w:shd w:val="clear" w:color="auto" w:fill="auto"/>
        <w:bidi w:val="0"/>
        <w:spacing w:lineRule="auto" w:line="259" w:before="0" w:after="120"/>
        <w:ind w:left="0" w:right="0" w:hanging="0"/>
        <w:jc w:val="left"/>
        <w:rPr/>
      </w:pPr>
      <w:r>
        <w:rPr>
          <w:color w:val="000000"/>
          <w:spacing w:val="0"/>
          <w:w w:val="100"/>
          <w:u w:val="single"/>
          <w:shd w:fill="auto" w:val="clear"/>
          <w:lang w:val="en-US" w:eastAsia="en-US" w:bidi="en-US"/>
        </w:rPr>
        <w:t>I. Bücher</w:t>
      </w:r>
    </w:p>
    <w:p>
      <w:pPr>
        <w:pStyle w:val="Flietext1"/>
        <w:keepNext w:val="false"/>
        <w:keepLines w:val="false"/>
        <w:widowControl w:val="false"/>
        <w:shd w:val="clear" w:color="auto" w:fill="auto"/>
        <w:bidi w:val="0"/>
        <w:spacing w:lineRule="auto" w:line="259" w:before="0" w:after="0"/>
        <w:ind w:left="0" w:right="0" w:hanging="0"/>
        <w:jc w:val="center"/>
        <w:rPr/>
      </w:pPr>
      <w:r>
        <w:rPr>
          <w:color w:val="000000"/>
          <w:spacing w:val="0"/>
          <w:w w:val="100"/>
          <w:shd w:fill="auto" w:val="clear"/>
          <w:lang w:val="en-US" w:eastAsia="en-US" w:bidi="en-US"/>
        </w:rPr>
        <w:t>Agnew, Spiro T. Ehrlich gesagt: Eine Sammlung von Außergewöhnlichem</w:t>
        <w:br/>
        <w:t>Reden. Washington, DC: Public Affairs Press, 1970.</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Appleby, Paul H. Politik und Verwaltung. Alabama: University of Alabama Press, 1949.</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Thomas. Ausgewählte politische Schriften. Herausgegeben von A. P. D'Entreves. Übersetzt von J.G. Dawson. New York: Macmillan, 1959.</w:t>
      </w:r>
    </w:p>
    <w:p>
      <w:pPr>
        <w:pStyle w:val="Flietext1"/>
        <w:keepNext w:val="false"/>
        <w:keepLines w:val="false"/>
        <w:widowControl w:val="false"/>
        <w:shd w:val="clear" w:color="auto" w:fill="auto"/>
        <w:bidi w:val="0"/>
        <w:spacing w:lineRule="auto" w:line="259" w:before="0" w:after="0"/>
        <w:ind w:left="0" w:right="0" w:hanging="0"/>
        <w:jc w:val="left"/>
        <w:rPr/>
      </w:pPr>
      <w:r>
        <w:rPr>
          <w:color w:val="000000"/>
          <w:spacing w:val="0"/>
          <w:w w:val="100"/>
          <w:shd w:fill="auto" w:val="clear"/>
          <w:lang w:val="en-US" w:eastAsia="en-US" w:bidi="en-US"/>
        </w:rPr>
        <w:t>Ardey, Robert. Afrikanische Genese. New York: Dell Publishing Co., 1961. ——. Der Gesellschaftsvertrag: Eine persönliche Untersuchung der evolutionären Quellen von Ordnung und Unordnung. New York: Atheneum, 1970.</w:t>
      </w:r>
    </w:p>
    <w:p>
      <w:pPr>
        <w:pStyle w:val="Flietext1"/>
        <w:keepNext w:val="false"/>
        <w:keepLines w:val="false"/>
        <w:widowControl w:val="false"/>
        <w:shd w:val="clear" w:color="auto" w:fill="auto"/>
        <w:bidi w:val="0"/>
        <w:spacing w:lineRule="auto" w:line="259" w:before="0" w:after="0"/>
        <w:ind w:left="0" w:right="0" w:hanging="0"/>
        <w:jc w:val="left"/>
        <w:rPr/>
      </w:pPr>
      <w:r>
        <w:rPr>
          <w:color w:val="000000"/>
          <w:spacing w:val="0"/>
          <w:w w:val="100"/>
          <w:shd w:fill="auto" w:val="clear"/>
          <w:lang w:val="en-US" w:eastAsia="en-US" w:bidi="en-US"/>
        </w:rPr>
        <w:t>——</w:t>
      </w:r>
      <w:r>
        <w:rPr>
          <w:color w:val="000000"/>
          <w:spacing w:val="0"/>
          <w:w w:val="100"/>
          <w:shd w:fill="auto" w:val="clear"/>
          <w:lang w:val="en-US" w:eastAsia="en-US" w:bidi="en-US"/>
        </w:rPr>
        <w:t>. Der territoriale Imperativ. New York: Delta-Bücher, 1966.</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Arendt, Hannah. Der menschliche Zustand. Garden City, NY: Doubleday and Co. Inc., 1958.</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Babbit, Irving. Demokratie und Führung. London: Constable &amp; Co., 1924.</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Banton, Michael, Hrsg. Darwinismus und das Studium der Gesellschaft: Ein hundertjähriges Symposium. London: Tavistock-Veröffentlichungen, 1961.</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Baumrin, Bernhard H., hrsg. Hobbes' Leviathan: Interpretation und Kritik. Belmont, Kalifornien: Wadsworth Publishing Co., 1969.</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Benn, Stanley I. und Peters, R.S. Soziale Prinzipien und der demokratische Staat. London: George Allen &amp; Unwin, 1959.</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Bermann, Marshall. Die Politik der Authentizität: Radikaler Individualismus und die Entstehung der modernen Gesellschaft. London: George Allen &amp; Unwin Ltd., 1970.</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Bradley, FH Ethical Studies. 2. Aufl. London, Oxford und New York: Oxford University Press, 1962. (Erstveröffentlichung 1927.)</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Broome, J.H. Rousseau: Eine Studie seines Denkens. London: Edward Arnold Ltd., 1963.</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Buchanan, James M. und Tullock, Gordon, The Calculus of Consent: Logical Foundations of Constitutional Democracy. Ann Arbor: University of Michigan Press, 1969.</w:t>
      </w:r>
    </w:p>
    <w:p>
      <w:pPr>
        <w:pStyle w:val="Flietext1"/>
        <w:keepNext w:val="false"/>
        <w:keepLines w:val="false"/>
        <w:widowControl w:val="false"/>
        <w:shd w:val="clear" w:color="auto" w:fill="auto"/>
        <w:bidi w:val="0"/>
        <w:spacing w:lineRule="auto" w:line="259" w:before="0" w:after="280"/>
        <w:ind w:left="620" w:right="0" w:hanging="620"/>
        <w:jc w:val="left"/>
        <w:rPr/>
      </w:pPr>
      <w:r>
        <w:rPr>
          <w:color w:val="000000"/>
          <w:spacing w:val="0"/>
          <w:w w:val="100"/>
          <w:shd w:fill="auto" w:val="clear"/>
          <w:lang w:val="en-US" w:eastAsia="en-US" w:bidi="en-US"/>
        </w:rPr>
        <w:t>Buckley, William F., Jr. Dialoge im Amerikanismus. Chicago: Henry Regnery Co., 1964.</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Calhoun, John. Disquisition über die Regierung. Indianapolis und New York: Bobbs-Merrill, 1953.</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Cameron, David Robertson, „Eine Untersuchung einiger Affinitäten in den Schriften von Edmund Burke und Jean-Jacques Rousseau.“ Unveröffentlichte Promotion Dissertation, University of London, 1969.</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Canavan, Francis P. Die politische Vernunft von Edmund Burke. Durham, NC: Duke University Press, 1960.</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Kassier, Ernst. Die Frage von Jean-Jacques Rousseau. Übersetzt von Peter Gay. Bloomington und London: Indiana University Press, 1963.</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Chapman, John W. Rousseau – Totalitär oder Liberal? New York: Columbia University Press, 1956.</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Charvet, John. „Die Idee der Gleichheit als materielles Prinzip der Gesellschaft.“ Zeitgenössische politische Theorie. Herausgegeben von Anthony de Crespigny und Alan Wertheimer. London: Thomas Nelson &amp; Söhne Ltd., 1970.</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Chester, Hodgson und Page. Ein amerikanisches Melodrama: Die Präsidentschaftskampagne von 1968. London: Andre Deutsch, 1969.</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Christenson, Reo M., und McWilliams, Robert O., Hrsg. Stimme des Volkes: Lesungen in der öffentlichen Meinung und Propaganda. 2. Aufl. New York: McGraw-Hill Book Co., 1967.</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Coban, Alfred. Rousseau und der moderne Staat. London: George Allen &amp; Unwin Ltd., 1968.</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Cogley, Johnet al. Naturrecht und moderne Gesellschaft. Cleveland und New York: The World Company, 1962.</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Cooper, James Fenimore. Der amerikanische Demokrat. Harmondsworth, England: Pinguinbücher.</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Cranston, Moritz. Das Wesen der Demokratie. London: Phönixhaus, 1958.</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w:t>
      </w:r>
      <w:r>
        <w:rPr>
          <w:color w:val="000000"/>
          <w:spacing w:val="0"/>
          <w:w w:val="100"/>
          <w:shd w:fill="auto" w:val="clear"/>
          <w:lang w:val="en-US" w:eastAsia="en-US" w:bidi="en-US"/>
        </w:rPr>
        <w:t>. „Rousseaus Gesellschaftsvertrag“, Die Maske der Politik. London: Pinguinbücher, 1973.</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w:t>
      </w:r>
      <w:r>
        <w:rPr>
          <w:color w:val="000000"/>
          <w:spacing w:val="0"/>
          <w:w w:val="100"/>
          <w:shd w:fill="auto" w:val="clear"/>
          <w:lang w:val="en-US" w:eastAsia="en-US" w:bidi="en-US"/>
        </w:rPr>
        <w:t>. und Peters, R. S., Hrsg. Hobbes und Rousseau: Eine Sammlung kritischer Essays. Garden City, NY: Doubleday Press Inc., 1972.</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de Crespigny, Anthony, und Wertheimer, Alan, Hrsg. Zeitgenössische politische Theorie. London: Thomas Nelson &amp; z Sons Ltd., 1970.</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Crocker, Lester G. Rousseaus Gesellschaftsvertrag: Ein interpretierender Essay. Cleveland: Case Western Reserve University Press, 1968.</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Crossman, RHS Regierung und Regierte: Eine Geschichte politischer Ideen und politischer Praxis . 5. Aufl. London: Chatto &amp; Windus, 1969.</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w:t>
      </w:r>
      <w:r>
        <w:rPr>
          <w:color w:val="000000"/>
          <w:spacing w:val="0"/>
          <w:w w:val="100"/>
          <w:shd w:fill="auto" w:val="clear"/>
          <w:lang w:val="en-US" w:eastAsia="en-US" w:bidi="en-US"/>
        </w:rPr>
        <w:t>. Planung für die Freiheit: Essays im Sozialismus. London: Hamish Hamilton, 1965.</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Dahl, Robert A. Nach der Revolution? Autorität in einer guten Gesellschaft. New Haven und London: Yale University Press, 1970.</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w:t>
      </w:r>
      <w:r>
        <w:rPr>
          <w:color w:val="000000"/>
          <w:spacing w:val="0"/>
          <w:w w:val="100"/>
          <w:shd w:fill="auto" w:val="clear"/>
          <w:lang w:val="en-US" w:eastAsia="en-US" w:bidi="en-US"/>
        </w:rPr>
        <w:t>. Vorwort zur Demokratischen Theorie. Chicago: University of Chicago Press, 1956.</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w:t>
      </w:r>
      <w:r>
        <w:rPr>
          <w:color w:val="000000"/>
          <w:spacing w:val="0"/>
          <w:w w:val="100"/>
          <w:shd w:fill="auto" w:val="clear"/>
          <w:lang w:val="en-US" w:eastAsia="en-US" w:bidi="en-US"/>
        </w:rPr>
        <w:t>. Wer regiert? Demokratie und Macht in einer amerikanischen Stadt. New Haven: Yale University Press, 1961.</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Derath, Robert. Jean-Jacques Rousseau und die Politikwissenschaft seiner Zeit. Paris: Presses Universitaire de France, 1950.</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Dodge, Guy H., Hrsg. Jean-Jacques Rousseau: Autoritärer Liberalist? Lexington, Mass.: D. C. Heath &amp; Co., 1971.</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Dorsey, Gray L. „Verfassungsrechtliche Verpflichtung.“ Amerikanische Gesellschaft für politische und rechtliche Philosophie, Nomos XII: Politische und rechtliche Verpflichtung. Herausgegeben von Pennock und Chapman. New York: Atherton Press, 1970.</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Drucker, Peter F. Die Zukunft des industriellen Menschen; Ein konservativer Ansatz. London: W. Heinemann, 1943.</w:t>
      </w:r>
    </w:p>
    <w:p>
      <w:pPr>
        <w:pStyle w:val="Flietext1"/>
        <w:keepNext w:val="false"/>
        <w:keepLines w:val="false"/>
        <w:widowControl w:val="false"/>
        <w:shd w:val="clear" w:color="auto" w:fill="auto"/>
        <w:bidi w:val="0"/>
        <w:spacing w:lineRule="auto" w:line="259" w:before="0" w:after="0"/>
        <w:ind w:left="0" w:right="0" w:hanging="0"/>
        <w:jc w:val="left"/>
        <w:rPr/>
      </w:pPr>
      <w:r>
        <w:rPr>
          <w:color w:val="000000"/>
          <w:spacing w:val="0"/>
          <w:w w:val="100"/>
          <w:shd w:fill="auto" w:val="clear"/>
          <w:lang w:val="en-US" w:eastAsia="en-US" w:bidi="en-US"/>
        </w:rPr>
        <w:t>——</w:t>
      </w:r>
      <w:r>
        <w:rPr>
          <w:color w:val="000000"/>
          <w:spacing w:val="0"/>
          <w:w w:val="100"/>
          <w:shd w:fill="auto" w:val="clear"/>
          <w:lang w:val="en-US" w:eastAsia="en-US" w:bidi="en-US"/>
        </w:rPr>
        <w:t>. Die Wahrzeichen von morgen. London: William Heinemann, 1959.</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Dun, John. Das politische Denken von John Locke. Cambridge: Cambridge University Press, 1969.</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Egger, Rowland. "Verantwortung in der Verwaltung: Ein Sondierungsaufsatz." Öffentliche Verwaltung und Demokratie: Essays zu Ehren von Paul H. Appleby. Herausgegeben von Roscoe C. Martin. Syracuse, NY: Syracuse University Press, 1965.</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Eisenstein, Ludwig. Die Ideologien der Besteuerung. New York: Ronald Press Co., 1969.</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Ferkiss, Victor C. Technologischer Mensch: Der Mythos und die Realität. London: W. Heinemann Ltd., 1969.</w:t>
      </w:r>
    </w:p>
    <w:p>
      <w:pPr>
        <w:pStyle w:val="Flietext1"/>
        <w:keepNext w:val="false"/>
        <w:keepLines w:val="false"/>
        <w:widowControl w:val="false"/>
        <w:shd w:val="clear" w:color="auto" w:fill="auto"/>
        <w:bidi w:val="0"/>
        <w:spacing w:lineRule="auto" w:line="259" w:before="0" w:after="0"/>
        <w:ind w:left="0" w:right="0" w:hanging="0"/>
        <w:jc w:val="left"/>
        <w:rPr/>
      </w:pPr>
      <w:r>
        <w:rPr>
          <w:color w:val="000000"/>
          <w:spacing w:val="0"/>
          <w:w w:val="100"/>
          <w:shd w:fill="auto" w:val="clear"/>
          <w:lang w:val="en-US" w:eastAsia="en-US" w:bidi="en-US"/>
        </w:rPr>
        <w:t>Flathman, Richard E. Politische Verpflichtung. New York: Atheneum, 1972.</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w:t>
      </w:r>
      <w:r>
        <w:rPr>
          <w:color w:val="000000"/>
          <w:spacing w:val="0"/>
          <w:w w:val="100"/>
          <w:shd w:fill="auto" w:val="clear"/>
          <w:lang w:val="en-US" w:eastAsia="en-US" w:bidi="en-US"/>
        </w:rPr>
        <w:t>. „Verpflichtung, Ideale und Können.“ Amerikanische Gesellschaft für politische und rechtliche Philosophie, Nomos XII: Politische und rechtliche Verpflichtung. Herausgegeben von Pennock und Chapman. New York: Atherton Press, 1970.</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Frankel. „Einführung“ in Rousseau. Gesellschaftsvertrag. New York: Hafner Publishing Co., 1947.</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Freundlich, Fred W. Aufgrund von Umständen, die außerhalb unserer Kontrolle liegen. ...London: MacGibbon &amp; Kee, 1967.</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Fuller, Lon L. Das Gesetz auf der Suche nach sich selbst. Chicago: The Foundation Press, Inc., 1940.</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Galbraith, John Kenneth. Der große Absturz. London: Hamish Hamilton, 1955.</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Geiger, Theodor. Über soziale Ordnung und Massengesellschaft: Ausgewählte Aufsätze. Herausgegeben von Renate Mayntz. Übersetzt von Robert E. Peck. Chicago: University of Chicago Press, 1969.</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Germino, Dante. Modernes westliches politisches Denken: Machiavelli bis Marx. Chicago: Rand McNally, 1972.</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Gough, J.W. Der Gesellschaftsvertrag: Eine kritische Studie seiner Entwicklung. 2. Aufl. Oxford: Clarendon Press, 1963.</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Gray, Francine du Plessix. Göttlicher Ungehorsam: Profile im katholischen Radikalismus. London: Hamish Hamilton, 1970.</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Grün, Thomas Hill. Vorlesungen über die Grundsätze der politischen Verpflichtung. London: Longmans, Green &amp; Co. Ltd., 1941.</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w:t>
      </w:r>
      <w:r>
        <w:rPr>
          <w:color w:val="000000"/>
          <w:spacing w:val="0"/>
          <w:w w:val="100"/>
          <w:shd w:fill="auto" w:val="clear"/>
          <w:lang w:val="en-US" w:eastAsia="en-US" w:bidi="en-US"/>
        </w:rPr>
        <w:t>. „Vorlesungen über liberale Gesetzgebung und Vertragsfreiheit.“ Vol. III Werke von T.H. Grün. Bearbeitet von Nettleship. London: Longmans Green &amp; Co., 1906.</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Grotius, Hugo. Prolegomena zum Gesetz von Krieg und Frieden. Übersetzt von Francis Kelsey. New York: Bobbs Merrill Ltd., 1957.</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Habermas, Jürgen. Auf dem Weg zu einer rationalen Gesellschaft: Studentenprotest, Wissenschaft und Politik. Übersetzt von Jeremy J. Shapiro. London: W. Heinemann Ltd., 1971.</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Hacker, Andreas. Das Ende der amerikanischen Ära. London: Sidgwick und Jackson, 1968.</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Halle, Louis J. Die ideologische Imagination. London: Chatto &amp; Windus, 1972.</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Hendel, Charles W., Hrsg. Politische Essays von David Hume. Indianapolis und New York: Bobbs Merrill Ltd., 1953.</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Herold, J. Christopher. Das Zeitalter Napoleons. New York: Dell Publishing Co., 1963.</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Hering, E. Pendleton. Öffentliche Verwaltung und öffentliches Interesse. New York und London: McGraw-Hill Book Co. Inc., 1936.</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Hügel, Christoph. Puritanismus und Revolution: Die englische Revolution des siebzehnten Jahrhunderts. New York: Schocken Books, 1964.</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Hodder-Williams. Meinungsumfragen und britische Politik. London: Routeledge &amp; Kegan Paul, 1970.</w:t>
      </w:r>
    </w:p>
    <w:p>
      <w:pPr>
        <w:pStyle w:val="Flietext1"/>
        <w:keepNext w:val="false"/>
        <w:keepLines w:val="false"/>
        <w:widowControl w:val="false"/>
        <w:shd w:val="clear" w:color="auto" w:fill="auto"/>
        <w:bidi w:val="0"/>
        <w:spacing w:lineRule="auto" w:line="259" w:before="0" w:after="0"/>
        <w:ind w:left="0" w:right="0" w:hanging="0"/>
        <w:jc w:val="left"/>
        <w:rPr/>
      </w:pPr>
      <w:r>
        <w:rPr>
          <w:color w:val="000000"/>
          <w:spacing w:val="0"/>
          <w:w w:val="100"/>
          <w:shd w:fill="auto" w:val="clear"/>
          <w:lang w:val="en-US" w:eastAsia="en-US" w:bidi="en-US"/>
        </w:rPr>
        <w:t>Haube, Stuart. Eine Untersuchung des Fernsehens. London: W. Heinemann Ltd., 167.</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Kahn, Herman und Weiner, Anthony. Das Jahr 2000: Ein Rahmen für Spekulationen über die nächsten dreiunddreißig Jahre. London: Macmillan, 1967.</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Kaplan, Morton A. Dissent und der Staat in Frieden und Krieg: Ein Essay aus Gründen der öffentlichen Moral. New York: Dunellen Co., 1970.</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Kendall, Willmoore. Die konservative Affirmation. Chicago: Henry Regnery Co., 1963.</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w:t>
      </w:r>
      <w:r>
        <w:rPr>
          <w:color w:val="000000"/>
          <w:spacing w:val="0"/>
          <w:w w:val="100"/>
          <w:shd w:fill="auto" w:val="clear"/>
          <w:lang w:val="en-US" w:eastAsia="en-US" w:bidi="en-US"/>
        </w:rPr>
        <w:t>. John Locke und die Doktrin der Mehrheitsregel. Urbana: University of Illinois Press, 1965.</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King, Martin Luther, Jr. Warum wir nicht warten können. New York: Die Neue Amerikanische Bibliothek, 1964.</w:t>
      </w:r>
    </w:p>
    <w:p>
      <w:pPr>
        <w:pStyle w:val="Flietext1"/>
        <w:keepNext w:val="false"/>
        <w:keepLines w:val="false"/>
        <w:widowControl w:val="false"/>
        <w:shd w:val="clear" w:color="auto" w:fill="auto"/>
        <w:bidi w:val="0"/>
        <w:spacing w:lineRule="auto" w:line="259" w:before="0" w:after="0"/>
        <w:ind w:left="0" w:right="0" w:hanging="0"/>
        <w:jc w:val="left"/>
        <w:rPr/>
      </w:pPr>
      <w:r>
        <w:rPr>
          <w:color w:val="000000"/>
          <w:spacing w:val="0"/>
          <w:w w:val="100"/>
          <w:shd w:fill="auto" w:val="clear"/>
          <w:lang w:val="en-US" w:eastAsia="en-US" w:bidi="en-US"/>
        </w:rPr>
        <w:t>Kitto, HDF Die Griechen. Harmondsworth, England: Pinguin, 1951.</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Knox, Bernard MW The Heroic Temper: Studien zur sophokleischen Tragödie. Berkley und Los Angeles: University of California Press, 1966.</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Lamprecht, Sterling Power. Die moralische und politische Philosophie von John Locke. New York: Columbia University Press, 1918.</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Lancaster, Lane W. Meister des politischen Denkens. Vol. III London: George C. Harrap &amp; Co., 1959.</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Laski, Harold J. Politisches Denken in England: Locke an Bentham. London: Oxford University Press, 1945.</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w:t>
      </w:r>
      <w:r>
        <w:rPr>
          <w:color w:val="000000"/>
          <w:spacing w:val="0"/>
          <w:w w:val="100"/>
          <w:shd w:fill="auto" w:val="clear"/>
          <w:lang w:val="en-US" w:eastAsia="en-US" w:bidi="en-US"/>
        </w:rPr>
        <w:t>. Der Aufstieg des europäischen Liberalismus: Ein Essay zur Interpretation. London: George Allen &amp; Unwin Ltd., 1936.</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Lalett, Peter. (ed) Philosophie, Politik und Gesellschaft 1. Reihe. Oxford: Basil Blackwell, 1963.</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Latey, Maurice. Tyrannei: Eine Studie zum Machtmissbrauch. London: Macmillan, 1969.</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Latham, Graf. Die Gruppenbasis der Politik. Ithaca, NY: Cornell University Press, 1952.</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Leiser, Burton M. Sitte, Recht und Moral: Konflikt und Kontinuität im sozialen Verhalten. Garden City, NY: Doubleday &amp; Co., 1969.</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Levi, Mario Attilio. Politische Macht in der Antike. Übersetzt von Jane Costello. London: Weidenfeld &amp; Nicolson, 1965.</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Lipson, Leslie. Die demokratische Zivilisation. New York: Oxford University Press, 1964.</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Locke, John. Zwei Abhandlungen über die Regierung. Herausgegeben von P. Laslett. New York und Toronto: New American Library, 1963.</w:t>
      </w:r>
    </w:p>
    <w:p>
      <w:pPr>
        <w:pStyle w:val="Flietext1"/>
        <w:keepNext w:val="false"/>
        <w:keepLines w:val="false"/>
        <w:widowControl w:val="false"/>
        <w:shd w:val="clear" w:color="auto" w:fill="auto"/>
        <w:bidi w:val="0"/>
        <w:spacing w:lineRule="auto" w:line="259" w:before="0" w:after="0"/>
        <w:ind w:left="0" w:right="0" w:hanging="0"/>
        <w:jc w:val="left"/>
        <w:rPr/>
      </w:pPr>
      <w:r>
        <w:rPr>
          <w:color w:val="000000"/>
          <w:spacing w:val="0"/>
          <w:w w:val="100"/>
          <w:shd w:fill="auto" w:val="clear"/>
          <w:lang w:val="en-US" w:eastAsia="en-US" w:bidi="en-US"/>
        </w:rPr>
        <w:t>Lorenz, Konrad. On Aggression. London: Methuen Publishing Co., 1966.</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Lüttwak, Edward. Staatsstreich: Ein praktisches Handbuch . London: Penguin Press, 1968.</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Mabbot, J. D. Der Staat und der Bürger. 2. Auflage. London: Hutchinson &amp; Co., 1967.</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McDonald, Johanna. Rousseau und die Französische Revolution 1762-1791. London: Athlone Press, 1965.</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Machiavelli, Niccolò. Die Diskurse. New York: Die moderne Bibliothek, 1950.</w:t>
      </w:r>
    </w:p>
    <w:p>
      <w:pPr>
        <w:pStyle w:val="Flietext1"/>
        <w:keepNext w:val="false"/>
        <w:keepLines w:val="false"/>
        <w:widowControl w:val="false"/>
        <w:shd w:val="clear" w:color="auto" w:fill="auto"/>
        <w:bidi w:val="0"/>
        <w:spacing w:lineRule="auto" w:line="259" w:before="0" w:after="0"/>
        <w:ind w:left="0" w:right="0" w:hanging="0"/>
        <w:jc w:val="left"/>
        <w:rPr/>
      </w:pPr>
      <w:r>
        <w:rPr>
          <w:i/>
          <w:iCs/>
          <w:color w:val="000000"/>
          <w:spacing w:val="0"/>
          <w:w w:val="100"/>
          <w:shd w:fill="auto" w:val="clear"/>
          <w:lang w:val="en-US" w:eastAsia="en-US" w:bidi="en-US"/>
        </w:rPr>
        <w:t>MacIver, R.M. (Hrsg.) Loyalitätskonflikt. New York: Harper &amp; Bros., 1952. Macpherson, C. B. The Political Theory of Possessive Individualism:</w:t>
      </w:r>
    </w:p>
    <w:p>
      <w:pPr>
        <w:pStyle w:val="Flietext1"/>
        <w:keepNext w:val="false"/>
        <w:keepLines w:val="false"/>
        <w:widowControl w:val="false"/>
        <w:shd w:val="clear" w:color="auto" w:fill="auto"/>
        <w:bidi w:val="0"/>
        <w:spacing w:lineRule="auto" w:line="259" w:before="0" w:after="0"/>
        <w:ind w:left="620" w:right="0" w:hanging="0"/>
        <w:jc w:val="left"/>
        <w:rPr/>
      </w:pPr>
      <w:r>
        <w:rPr>
          <w:color w:val="000000"/>
          <w:spacing w:val="0"/>
          <w:w w:val="100"/>
          <w:shd w:fill="auto" w:val="clear"/>
          <w:lang w:val="en-US" w:eastAsia="en-US" w:bidi="en-US"/>
        </w:rPr>
        <w:t>Hobbes an Locke. London, Oxford und New York: Oxford University Press, 1962.</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McPhersom, Thomas. Politische Verpflichtung. London: Rutledge &amp; Kegan Paul, 1967.</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Maritain, Jacques. Mensch und Staat. Chicago: University of Chicago Press, 1951.</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w:t>
      </w:r>
      <w:r>
        <w:rPr>
          <w:color w:val="000000"/>
          <w:spacing w:val="0"/>
          <w:w w:val="100"/>
          <w:shd w:fill="auto" w:val="clear"/>
          <w:lang w:val="en-US" w:eastAsia="en-US" w:bidi="en-US"/>
        </w:rPr>
        <w:t>. Drei Reformatoren – Luther – Descartes – Rousseau. London: Sheed &amp; Ward, 1941.</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Marsilius von Padua. Verteidiger Pacis. Übersetzt von ALan Gewirth. New York: Harper &amp; Row, 1956.</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Martin, E. W. Die Tyrannei der Mehrheit. London &amp; Dunmow: Pall Mall Press, 1961.</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Martin, Roscoe C. Basis. Alabama: University of Alabama Press, 1957.</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Meister, Roger D. Die politische Philosophie von Rousseau. Princeton, NJ: Princeton University Press, 1968.</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Meiklejohn, Alexander. Politische Freiheit: Verfassungsbefugnisse des Volkes. New York: Harper &amp; Row, 1960.</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Milne, A.J.M. Die Sozialphilosophie des englischen Idealismus. London: Gerge Allen &amp; Unwin, 1962.</w:t>
      </w:r>
    </w:p>
    <w:p>
      <w:pPr>
        <w:pStyle w:val="Flietext1"/>
        <w:keepNext w:val="false"/>
        <w:keepLines w:val="false"/>
        <w:widowControl w:val="false"/>
        <w:shd w:val="clear" w:color="auto" w:fill="auto"/>
        <w:bidi w:val="0"/>
        <w:spacing w:lineRule="auto" w:line="259" w:before="0" w:after="0"/>
        <w:ind w:left="0" w:right="0" w:hanging="0"/>
        <w:jc w:val="left"/>
        <w:rPr/>
      </w:pPr>
      <w:r>
        <w:rPr>
          <w:color w:val="000000"/>
          <w:spacing w:val="0"/>
          <w:w w:val="100"/>
          <w:shd w:fill="auto" w:val="clear"/>
          <w:lang w:val="en-US" w:eastAsia="en-US" w:bidi="en-US"/>
        </w:rPr>
        <w:t>Morris, Desmond. Der Menschenzoo. New York: McGraw-Hill Book Co.,</w:t>
      </w:r>
    </w:p>
    <w:p>
      <w:pPr>
        <w:pStyle w:val="Flietext1"/>
        <w:keepNext w:val="false"/>
        <w:keepLines w:val="false"/>
        <w:widowControl w:val="false"/>
        <w:shd w:val="clear" w:color="auto" w:fill="auto"/>
        <w:bidi w:val="0"/>
        <w:spacing w:lineRule="auto" w:line="259" w:before="0" w:after="0"/>
        <w:ind w:left="0" w:right="0" w:firstLine="620"/>
        <w:jc w:val="left"/>
        <w:rPr/>
      </w:pPr>
      <w:r>
        <w:rPr>
          <w:color w:val="000000"/>
          <w:spacing w:val="0"/>
          <w:w w:val="100"/>
          <w:shd w:fill="auto" w:val="clear"/>
          <w:lang w:val="en-US" w:eastAsia="en-US" w:bidi="en-US"/>
        </w:rPr>
        <w:t>1969.</w:t>
      </w:r>
    </w:p>
    <w:p>
      <w:pPr>
        <w:pStyle w:val="Flietext1"/>
        <w:keepNext w:val="false"/>
        <w:keepLines w:val="false"/>
        <w:widowControl w:val="false"/>
        <w:shd w:val="clear" w:color="auto" w:fill="auto"/>
        <w:bidi w:val="0"/>
        <w:spacing w:lineRule="auto" w:line="259" w:before="0" w:after="0"/>
        <w:ind w:left="0" w:right="0" w:hanging="0"/>
        <w:jc w:val="left"/>
        <w:rPr/>
      </w:pPr>
      <w:r>
        <w:rPr>
          <w:color w:val="000000"/>
          <w:spacing w:val="0"/>
          <w:w w:val="100"/>
          <w:shd w:fill="auto" w:val="clear"/>
          <w:lang w:val="en-US" w:eastAsia="en-US" w:bidi="en-US"/>
        </w:rPr>
        <w:t>——</w:t>
      </w:r>
      <w:r>
        <w:rPr>
          <w:color w:val="000000"/>
          <w:spacing w:val="0"/>
          <w:w w:val="100"/>
          <w:shd w:fill="auto" w:val="clear"/>
          <w:lang w:val="en-US" w:eastAsia="en-US" w:bidi="en-US"/>
        </w:rPr>
        <w:t>. Der nackte Affe. New York: McGraw-Hill Book Co., 1967</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Morrow, Glenn R. Platons kretische Stadt. Princeton: Princeton University Press, 1960.</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Negley, Glenn. Politische Autorität und moralisches Urteilsvermögen. Durham: Duke University Press, 1965</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Niebuhr, Reinhold. Moralischer Mensch und unmoralische Gesellschaft: Eine Studie über Ethik und Politik. London: SCM Press Ltd., 1963.</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Niemeyer, Gerhard. Zwischen Nichts und Paradies. Baton Rouge: Louisiana State University Press, 1971.</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Nisbet, Robert A. Die Suche nach Gemeinschaft. New York: Oxford University Press, 1970.</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Oakeshott, Michael. "Die Massen in der repräsentativen Demokratie." in Freiheit und Leibeigenschaft: Eine Anthologie des westlichen Denkens. Herausgegeben von Albert Hunold. Dodrecht, Holland: D. Reidel Publishing Co., 1961.</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Passerin d’Entreves, Alexander. Naturgesetz. 2. Auflage. London: Hutchinson &amp; Co., 1970.</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w:t>
      </w:r>
      <w:r>
        <w:rPr>
          <w:color w:val="000000"/>
          <w:spacing w:val="0"/>
          <w:w w:val="100"/>
          <w:shd w:fill="auto" w:val="clear"/>
          <w:lang w:val="en-US" w:eastAsia="en-US" w:bidi="en-US"/>
        </w:rPr>
        <w:t>. Begriff des Staates: Eine Einführung in die politische Theorie. Oxford: The Clarendon Press, 1967.</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Patemann, Carole. Partizipation und Demokratietheorie. Cambridge: Cambridge University Press, 1970.</w:t>
      </w:r>
    </w:p>
    <w:p>
      <w:pPr>
        <w:pStyle w:val="Flietext1"/>
        <w:keepNext w:val="false"/>
        <w:keepLines w:val="false"/>
        <w:widowControl w:val="false"/>
        <w:shd w:val="clear" w:color="auto" w:fill="auto"/>
        <w:bidi w:val="0"/>
        <w:spacing w:lineRule="auto" w:line="259" w:before="0" w:after="0"/>
        <w:ind w:left="0" w:right="0" w:hanging="0"/>
        <w:jc w:val="left"/>
        <w:rPr/>
      </w:pPr>
      <w:r>
        <w:rPr>
          <w:color w:val="000000"/>
          <w:spacing w:val="0"/>
          <w:w w:val="100"/>
          <w:shd w:fill="auto" w:val="clear"/>
          <w:lang w:val="en-US" w:eastAsia="en-US" w:bidi="en-US"/>
        </w:rPr>
        <w:t>Peters, Richard. Hobbes. Harmondsworth, England: Penguin Books, 1956.</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Plamenatz, John. Zustimmung, Freiheit und politische Verpflichtung. 2. Auflage. London: Oxford University Press, 1968.</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Plato. Die Gesetze. Bearbeitet von T.J. Saunders. Harmondsworth, England: The Penguin Press, 1970.</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Pollock, Sir Frederick. Essays im Gesetz. Hamden, Anschl.: Archon Books, 1969. (Erstveröffentlichung 1922).</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Schwimmbad, Ithiel de Sola. „Die Auswirkungen der Kommunikation auf das Wahlverhalten.“ in der Wissenschaft der menschlichen Kommunikation. Herausgegeben von Wilbur Schramm. New York: Grundlegende Bücher, 1963.</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Prger, Robert. Die Eklipse der Staatsbürgerschaft: Macht und Partizipation in der zeitgenössischen Politik. New York: Holt, Rinehart &amp; Winston, 1968.</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Rader, Melvin. Ethik und die menschliche Gemeinschaft. New York: Holt, Rinehart &amp; Winston, 1964.</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Rawl, John. Eine Theorie der Gerechtigkeit. Cambridge, Mass.: Harvard University Press, 1971.</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Redford, Emmitte S. Demokratie im Verwaltungsstaat. New York: Oxford University Press, 1969.</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Reismann, David. Individualism Reconsidered und andere Essays. New York: Die freie Presse von Glencoe, 1954.</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Richter, Melwin. Die Politik des Gewissens: T.H. Grün und sein Alter. London: Weidenfeld &amp; Nicolson, 1964.</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Roszak, Theodore, (Hrsg.). The Dissenting Academy: Essays, die die Lehre der Geisteswissenschaften an amerikanischen Universitäten kritisieren. Harmondsworth, England: Penguin Books, 1967.</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Rousseau, Jean-Jacques. Vom Gesellschaftsvertrag (und anderen Werken). Paris: Editions Garnier Freres, 1962.</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Russel, Bertrand. Politische Ideale. London: George Allen &amp; Unwin, 1963. (Erstveröffentlichung 1917.)</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Sabine, George H. Eine Geschichte der politischen Theorie. 3. Auflage. London: George C. Harrap, 1961.</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Sartori, Giovanni. Demokratische Theorie. New York: Frederick A. Praeger, 1965.</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Schattschneider, EE Das halbsouveräne Volk: Die Sicht eines Realisten auf die Demokratie in Amerika. New York: Holt, Rinehart &amp; Winston, 1960.</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Schumpeter, J.A. Kapitalismus, Sozialismus und Demokratie. 3. Auflage. New York: Harper, 1950.</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Seliger, M. Die liberale Politik von John Locke. London: George Allen &amp; Unwin Ltd., 1968.</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Shklar, Judith N. Männer und Bürger: Eine Studie von Rousseaus Sozialtheorie. London: Columbia University Press, 1969.</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Sibley, Mulford Q. Die Verpflichtung zum Ungehorsam. New York: Der Rat für Religion und internationale Angelegenheiten, 1970.</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Spencer, Herbert. Der Mann gegen den Staat. Harmondsworth, England: Penguin Books Ltd., 1969.</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Sprott, W. J. H. Menschliche Gruppen. Harmondsworth, England: Penguin Books Ltd., 1958.</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Stampp, Kenneth M. Die besondere Institution: Negersklaverei im amerikanischen Süden. London: Eyre &amp; Spottiswoode, 1956.</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Stankiewicz, WJ (Hrsg.). Politisches Denken seit dem Zweiten Weltkrieg. London: Collier-Macmillan, 1964.</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Stanlis, Peter J. Edmund Burke und das Naturgesetz. Ann Arbor: University of Michigan Press, 1958.</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Strauß, Leo. Naturrecht und Geschichte. Chicago und London: University of Chicago Press, 1953.</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Swabey, MarieCollins. Theorie des demokratischen Staates. Cambridge: Harvard University Press, 1937.</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Talmon, JL Der Aufstieg der totalitären Demokratie. Boston: Beacon Press, 1952.</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Taylor, L.R. (Hrsg.). Die optimale Bevölkerung für Großbritannien. Symposien des Instituts für Biologie #19. London und New York: Academic Press,</w:t>
      </w:r>
    </w:p>
    <w:p>
      <w:pPr>
        <w:pStyle w:val="Flietext1"/>
        <w:keepNext w:val="false"/>
        <w:keepLines w:val="false"/>
        <w:widowControl w:val="false"/>
        <w:shd w:val="clear" w:color="auto" w:fill="auto"/>
        <w:bidi w:val="0"/>
        <w:spacing w:lineRule="auto" w:line="259" w:before="0" w:after="0"/>
        <w:ind w:left="0" w:right="0" w:firstLine="620"/>
        <w:jc w:val="left"/>
        <w:rPr/>
      </w:pPr>
      <w:r>
        <w:rPr>
          <w:color w:val="000000"/>
          <w:spacing w:val="0"/>
          <w:w w:val="100"/>
          <w:shd w:fill="auto" w:val="clear"/>
          <w:lang w:val="en-US" w:eastAsia="en-US" w:bidi="en-US"/>
        </w:rPr>
        <w:t>1970.</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Thomson, David (Hrsg.). Politische Ideen. Harmondsworth, England: Penguin Books Ltd., 1966.</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Thompson, Dennis F. Der demokratische Bürger: Sozialwissenschaft und demokratische Theorie im 20. Jahrhundert. Cambridge: Cambridge University Press, 1970.</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Thompson, Victor A. „Bürokratie in einer demokratischen Gesellschaft. in öffentlicher Verwaltung und Demokratie: Aufsätze zu Ehren von Paul H. Appleby. Herausgegeben von Roscoe C. Martin. Syracuse, NY: Syracuse University Press, 1965.</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Van Loon, Richard J. und Whittington, Michael S. Das kanadische politische System: Umwelt, Struktur und Prozess. Toronto: McGraw-Hill,</w:t>
      </w:r>
    </w:p>
    <w:p>
      <w:pPr>
        <w:pStyle w:val="Flietext1"/>
        <w:keepNext w:val="false"/>
        <w:keepLines w:val="false"/>
        <w:widowControl w:val="false"/>
        <w:shd w:val="clear" w:color="auto" w:fill="auto"/>
        <w:bidi w:val="0"/>
        <w:spacing w:lineRule="auto" w:line="259" w:before="0" w:after="0"/>
        <w:ind w:left="0" w:right="0" w:firstLine="620"/>
        <w:jc w:val="left"/>
        <w:rPr/>
      </w:pPr>
      <w:r>
        <w:rPr>
          <w:color w:val="000000"/>
          <w:spacing w:val="0"/>
          <w:w w:val="100"/>
          <w:shd w:fill="auto" w:val="clear"/>
          <w:lang w:val="en-US" w:eastAsia="en-US" w:bidi="en-US"/>
        </w:rPr>
        <w:t>1971.</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Viereck, Peter. Der unangepasste Mann; Ein neuer Held für Amerikaner: Überlegungen zur Unterscheidung zwischen Anpassung und Erhaltung. Boston: Beacon Press, 1956.</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Vögelin, Eric. Die neue Wissenschaft der Politik. Chicago: University of Chicago Press, 1952.</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w:t>
      </w:r>
      <w:r>
        <w:rPr>
          <w:color w:val="000000"/>
          <w:spacing w:val="0"/>
          <w:w w:val="100"/>
          <w:shd w:fill="auto" w:val="clear"/>
          <w:lang w:val="en-US" w:eastAsia="en-US" w:bidi="en-US"/>
        </w:rPr>
        <w:t>. Ordnung und Geschichte (3 Bände). Baton Rouge: Louisiana State University Press, 1956.</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Walzer, Michael. Verpflichtungen: Essays über Ungehorsam, Krieg und Staatsbürgerschaft. Cambridge, Mass.: Harvard University Press, 1970.</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Warrer, Howard. Die politische Philosophie von Thomas Hobbes. Oxford: The CLarendon Press, 1957.</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Weinstein, Allen und Gatell, Frank Otto, (Hrsg.). Amerikanische Negersklaverei: Ein moderner Leser . New York, London und Toronto: Oxford University Press, 1968.</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Weldon, TD Staaten und Moral: Eine Studie über politische Konflikte. London: John Murray, 1946.</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w:t>
      </w:r>
      <w:r>
        <w:rPr>
          <w:color w:val="000000"/>
          <w:spacing w:val="0"/>
          <w:w w:val="100"/>
          <w:shd w:fill="auto" w:val="clear"/>
          <w:lang w:val="en-US" w:eastAsia="en-US" w:bidi="en-US"/>
        </w:rPr>
        <w:t>. Das Vokabular der Politik. Harmondsworth, England: Penguin Books Ltd., 1953.</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Wal, John. The Half-Shut Eye: Fernsehen und Politik in Großbritannien und Amerika. London: Macmillan, 1969.</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Williams, Bernhard. „Die Idee der Gleichheit.“ in Philosophie, Politik und Gesellschaft (2. Reihe). Herausgegeben von Peter Laslett und W. G. Runciman.</w:t>
      </w:r>
    </w:p>
    <w:p>
      <w:pPr>
        <w:pStyle w:val="Flietext1"/>
        <w:keepNext w:val="false"/>
        <w:keepLines w:val="false"/>
        <w:widowControl w:val="false"/>
        <w:shd w:val="clear" w:color="auto" w:fill="auto"/>
        <w:bidi w:val="0"/>
        <w:spacing w:lineRule="auto" w:line="259" w:before="0" w:after="0"/>
        <w:ind w:left="0" w:right="0" w:firstLine="620"/>
        <w:jc w:val="left"/>
        <w:rPr/>
      </w:pPr>
      <w:r>
        <w:rPr>
          <w:color w:val="000000"/>
          <w:spacing w:val="0"/>
          <w:w w:val="100"/>
          <w:shd w:fill="auto" w:val="clear"/>
          <w:lang w:val="en-US" w:eastAsia="en-US" w:bidi="en-US"/>
        </w:rPr>
        <w:t>Oxford: Blackwell, 1964.</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Willen, Garry. Nixon Agonistes: Die Krise des Selfmademan. Boston: Houghton-Mifflin CO., 1969</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Wilson, Karl. Parlamente, Völker und Massenmedien: Ein Bericht über das Genfer Symposium. London: Cassell &amp; Co., 1970.</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Wolff, Robert Paul. Zur Verteidigung des Anarchismus. New York: Harper &amp; Row, 1970.</w:t>
      </w:r>
    </w:p>
    <w:p>
      <w:pPr>
        <w:pStyle w:val="Flietext1"/>
        <w:keepNext w:val="false"/>
        <w:keepLines w:val="false"/>
        <w:widowControl w:val="false"/>
        <w:shd w:val="clear" w:color="auto" w:fill="auto"/>
        <w:bidi w:val="0"/>
        <w:spacing w:lineRule="auto" w:line="259" w:before="0" w:after="0"/>
        <w:ind w:left="0" w:right="0" w:hanging="0"/>
        <w:jc w:val="left"/>
        <w:rPr/>
      </w:pPr>
      <w:r>
        <w:rPr>
          <w:color w:val="000000"/>
          <w:spacing w:val="0"/>
          <w:w w:val="100"/>
          <w:shd w:fill="auto" w:val="clear"/>
          <w:lang w:val="en-US" w:eastAsia="en-US" w:bidi="en-US"/>
        </w:rPr>
        <w:t>——</w:t>
      </w:r>
      <w:r>
        <w:rPr>
          <w:color w:val="000000"/>
          <w:spacing w:val="0"/>
          <w:w w:val="100"/>
          <w:shd w:fill="auto" w:val="clear"/>
          <w:lang w:val="en-US" w:eastAsia="en-US" w:bidi="en-US"/>
        </w:rPr>
        <w:t>. Armut des Liberalismus. Boston: Beacon Press, 1968.</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w:t>
      </w:r>
      <w:r>
        <w:rPr>
          <w:color w:val="000000"/>
          <w:spacing w:val="0"/>
          <w:w w:val="100"/>
          <w:shd w:fill="auto" w:val="clear"/>
          <w:lang w:val="en-US" w:eastAsia="en-US" w:bidi="en-US"/>
        </w:rPr>
        <w:t>. Barrington Moore und Herbert Marcuse. Eine Kritik der reinen Toleranz. Boston: Beacon Press, 1965.</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Wollin, Sheldon. Politik und Vision: Kontinuität und Innovation im westlichen politischen Denken. Boston und Toronto: Little Brown &amp; Co., 1960.</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Waldschnepfe, Georg. Anarchismus: Eine Geschichte libertärer Ideen und Bewegungen. Harmondsworth, England: Penguin Books, 1962.</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Wright, Ernst Jäger. Die Bedeutung von Rousseau. London: Oxford University Press, 1929.</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Yolton, John W. (Hrsg.). John Locke: Probleme und Perspektiven, eine Sammlung neuer Essays. Cambridge: Cambridge University Press, 1969.</w:t>
      </w:r>
    </w:p>
    <w:p>
      <w:pPr>
        <w:pStyle w:val="Flietext21"/>
        <w:keepNext w:val="false"/>
        <w:keepLines w:val="false"/>
        <w:widowControl w:val="false"/>
        <w:shd w:val="clear" w:color="auto" w:fill="auto"/>
        <w:bidi w:val="0"/>
        <w:spacing w:lineRule="auto" w:line="240" w:before="0" w:after="220"/>
        <w:ind w:left="260" w:right="0" w:hanging="260"/>
        <w:jc w:val="left"/>
        <w:rPr/>
      </w:pPr>
      <w:r>
        <w:rPr>
          <w:color w:val="000000"/>
          <w:spacing w:val="0"/>
          <w:w w:val="100"/>
          <w:shd w:fill="auto" w:val="clear"/>
          <w:lang w:val="en-US" w:eastAsia="en-US" w:bidi="en-US"/>
        </w:rPr>
        <w:t>Zimmermann, Marvin. „Demokratie und Mehrheitsherrschaft“. Sidney Hook und die zeitgenössische Welt: Essays über die Pragmatische Intelligenz. New York: John Day Co., 1968.</w:t>
      </w:r>
    </w:p>
    <w:p>
      <w:pPr>
        <w:pStyle w:val="Flietext1"/>
        <w:keepNext w:val="false"/>
        <w:keepLines w:val="false"/>
        <w:widowControl w:val="false"/>
        <w:shd w:val="clear" w:color="auto" w:fill="auto"/>
        <w:bidi w:val="0"/>
        <w:spacing w:lineRule="auto" w:line="259" w:before="0" w:after="120"/>
        <w:ind w:left="0" w:right="0" w:hanging="0"/>
        <w:jc w:val="left"/>
        <w:rPr/>
      </w:pPr>
      <w:r>
        <w:rPr>
          <w:color w:val="000000"/>
          <w:spacing w:val="0"/>
          <w:w w:val="100"/>
          <w:u w:val="single"/>
          <w:shd w:fill="auto" w:val="clear"/>
          <w:lang w:val="en-US" w:eastAsia="en-US" w:bidi="en-US"/>
        </w:rPr>
        <w:t>II. Artikel</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Ach, Claude. „Richtig, Utility und Rousseau.“ Western Political Quarterly, Bd. XX (1967).</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Ball, W. MacMahon. „Die Grenzen der politischen Verpflichtung“. Das Internationale Journal für Ethik, Bd. XLI Nr. 3 (April 1931).</w:t>
      </w:r>
    </w:p>
    <w:p>
      <w:pPr>
        <w:pStyle w:val="Flietext1"/>
        <w:keepNext w:val="false"/>
        <w:keepLines w:val="false"/>
        <w:widowControl w:val="false"/>
        <w:shd w:val="clear" w:color="auto" w:fill="auto"/>
        <w:bidi w:val="0"/>
        <w:spacing w:lineRule="auto" w:line="259" w:before="0" w:after="0"/>
        <w:ind w:left="0" w:right="0" w:hanging="0"/>
        <w:jc w:val="left"/>
        <w:rPr/>
      </w:pPr>
      <w:r>
        <w:rPr>
          <w:color w:val="000000"/>
          <w:spacing w:val="0"/>
          <w:w w:val="100"/>
          <w:shd w:fill="auto" w:val="clear"/>
          <w:lang w:val="en-US" w:eastAsia="en-US" w:bidi="en-US"/>
        </w:rPr>
        <w:t>Barri, Brian. „Über soziale Gerechtigkeit“. The Oxford Review, Nr. 5 (1967).</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Berlin, Herr Jesaja. „Hobbes, Locke und Professor Macpherson.“ The Political Quarterly, Bd. XXXV (1964).</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Brown, Stuart M. „Hobbes: Die Taylor-These.“ Philosophische Rezension, Bd. 68 (1938).</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Cameron, David. „Rousseau, Professor Derathe und das Naturrecht.“ Politische Studien, Bd. XX Nr. 2 (1972).</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Tscherno, Melvin. "Locke on Property: Eine Neubewertung." Ethik, Bd. LXVIII Nr. 1 (Oktober 1957).</w:t>
      </w:r>
    </w:p>
    <w:p>
      <w:pPr>
        <w:pStyle w:val="Flietext1"/>
        <w:keepNext w:val="false"/>
        <w:keepLines w:val="false"/>
        <w:widowControl w:val="false"/>
        <w:shd w:val="clear" w:color="auto" w:fill="auto"/>
        <w:bidi w:val="0"/>
        <w:spacing w:lineRule="auto" w:line="259" w:before="0" w:after="160"/>
        <w:ind w:left="620" w:right="0" w:hanging="620"/>
        <w:jc w:val="left"/>
        <w:rPr/>
      </w:pPr>
      <w:r>
        <w:rPr>
          <w:color w:val="000000"/>
          <w:spacing w:val="0"/>
          <w:w w:val="100"/>
          <w:shd w:fill="auto" w:val="clear"/>
          <w:lang w:val="en-US" w:eastAsia="en-US" w:bidi="en-US"/>
        </w:rPr>
        <w:t>Clark, John A. „Die Definition des allgemeinen Willens.“ Ethik, Bd. LIII (1943).</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Dahl, Robert A. „Die Stadt in der Zukunft der Demokratie.“ American Political Science Review, Bd. LXI Nr. 4 (Dezember 1967).</w:t>
      </w:r>
    </w:p>
    <w:p>
      <w:pPr>
        <w:pStyle w:val="Flietext1"/>
        <w:keepNext w:val="false"/>
        <w:keepLines w:val="false"/>
        <w:widowControl w:val="false"/>
        <w:shd w:val="clear" w:color="auto" w:fill="auto"/>
        <w:bidi w:val="0"/>
        <w:spacing w:lineRule="auto" w:line="259" w:before="0" w:after="0"/>
        <w:ind w:left="0" w:right="0" w:hanging="0"/>
        <w:jc w:val="left"/>
        <w:rPr/>
      </w:pPr>
      <w:r>
        <w:rPr>
          <w:color w:val="000000"/>
          <w:spacing w:val="0"/>
          <w:w w:val="100"/>
          <w:shd w:fill="auto" w:val="clear"/>
          <w:lang w:val="en-US" w:eastAsia="en-US" w:bidi="en-US"/>
        </w:rPr>
        <w:t>——</w:t>
      </w:r>
      <w:r>
        <w:rPr>
          <w:color w:val="000000"/>
          <w:spacing w:val="0"/>
          <w:w w:val="100"/>
          <w:shd w:fill="auto" w:val="clear"/>
          <w:lang w:val="en-US" w:eastAsia="en-US" w:bidi="en-US"/>
        </w:rPr>
        <w:t>. „Weitere Überlegungen zu ‚The Elitist Theory of</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Demokratie'." American Political Science Review, Bd. LX Nr. 2 (Januar 1966).</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Davis, Lane. "Die Kosten des Realismus: Zeitgenössische Neuformulierungen der Demokratie." The Western Political Quarterly, Bd. XVII Nr. 1 (März 1964).</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Drucker, H.M. „Nur Anologien? Der Platz von Analogien im politischen Denken.“ Politische Studien Bd. XVIII Nr. 4 (Dezember 1969).</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Dubs, Homer H. „Die logische Ableitung der Demokratie.“ Ethik, Bd. LV Nr. 3 (April 1945).</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Dun, John. "Zustimmung in der politischen Theorie von John Locke." Das Historische Journal, Bd. X Nr. 2 (1967).</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Fireside, Harvey F. „Das Konzept des Gesetzgebers in Rousseaus Gesellschaftsvertrag.“ Der Rückblick auf die Politik Bd. XXXII (April 1970).</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Flog, Anthony. „Soziale Tugend und blinde Gerechtigkeit.“ Begegnung, Bd. XLI Nr. 5 (November 1973).</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Goldschmidt, Maure L. „Demokratische Theorie und zeitgenössische Politikwissenschaft.“ Ergänzung zu The Western Political Quarterly, Vol. XIX Nr. 3 (September 1966).</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Gotesky, Rubin. "Soziale Quellen und die Bedeutung von Hobbes' Auffassung vom Naturgesetz." Ethik, Bd. L Nr. 4 (Juli 1940).</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Greenleaf, W.H. „Hume, Burke und der Generalwill.“ Politische Studien, Bd. XX Nr. 2 (1972).</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Hampshire, Stuart. „Was ist die gerechte Gesellschaft?“ The New York Review of Books, Bd. XVIII Nr. 3 (24. Februar 1972).</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Kabe, George. "Aspekte von Rousseaus politischem Denken." The Political Science Quarterly, Bd. LXXVI (Dezember 1961).</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Kendall, Willmoore. „John Locke noch einmal besucht.“ The Intercollegiate Review (Januar-Februar 1966).</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w:t>
      </w:r>
      <w:r>
        <w:rPr>
          <w:color w:val="000000"/>
          <w:spacing w:val="0"/>
          <w:w w:val="100"/>
          <w:shd w:fill="auto" w:val="clear"/>
          <w:lang w:val="en-US" w:eastAsia="en-US" w:bidi="en-US"/>
        </w:rPr>
        <w:t>. "Prolegomena für jede zukünftige Arbeit an der Mehrheitsregel." Das Journal der Politik, Bd. XII Nr. 4.</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w:t>
      </w:r>
      <w:r>
        <w:rPr>
          <w:color w:val="000000"/>
          <w:spacing w:val="0"/>
          <w:w w:val="100"/>
          <w:shd w:fill="auto" w:val="clear"/>
          <w:lang w:val="en-US" w:eastAsia="en-US" w:bidi="en-US"/>
        </w:rPr>
        <w:t>. und George W. Carey. „Das ‚Intensitäts‘-Problem und die demokratische Theorie.“ The American Political Science Review, Bd. LXII Nr. 1 (März 1968).</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Lalett, Peter. "Marktgesellschaft und politische Theorie." Das Historische Journal, Bd. VII Nr. 1 (1964).</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LeBaron, Bentley. „Echte und mythische Verpflichtung.“ Ethik, Bd. 78 Nr. 1 (Oktober 1967).</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Legaz und Lacambra, Louis. "Politische Verpflichtung und Naturrecht." Naturrechtsforum, Bd. 2 (1957).</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Levin, Leonard. „Über den Missbrauch des zivilen Ungehorsams.“ Widerspruch, Bd. XVII Nr. 6 (November-Dezember 1970).</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Levin, Michael. "Verwendungen der Gesellschaftsvertragsmethode: Vaughans Interpretation von Rousseau." Zeitschrift für Ideengeschichte, Bd. 28 (1967).</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Lewis, H.D. „Gibt es einen Gesellschaftsvertrag? – Ich.“ Philosophie, Bd. 15 Nr. 57 (Januar 1940).</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w:t>
      </w:r>
      <w:r>
        <w:rPr>
          <w:color w:val="000000"/>
          <w:spacing w:val="0"/>
          <w:w w:val="100"/>
          <w:shd w:fill="auto" w:val="clear"/>
          <w:lang w:val="en-US" w:eastAsia="en-US" w:bidi="en-US"/>
        </w:rPr>
        <w:t>. „Gibt es einen Gesellschaftsvertrag? – II.“ Philosophie, Bd. 15 Nr. 58 (April 1940).</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w:t>
      </w:r>
      <w:r>
        <w:rPr>
          <w:color w:val="000000"/>
          <w:spacing w:val="0"/>
          <w:w w:val="100"/>
          <w:shd w:fill="auto" w:val="clear"/>
          <w:lang w:val="en-US" w:eastAsia="en-US" w:bidi="en-US"/>
        </w:rPr>
        <w:t>. „Der ursprüngliche Vertrag.“ Ethik, Bd. L. Nr. 2 (Januar 1940). Long, Norton E. „Bürokratie und Konstitutionalismus.“ American Political Science Review, Bd. XLVI Nr. 3 (September 1952).</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Lowi, Theodor. "Die öffentliche Philosophie: Interessengemeinschaft Liberale." The American Political Science Review, Bd. LXI Nr. 1 (März 1967).</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McNeil, Gordon. „Der antirevolutionäre Rousseau.“ The American Historical Review, Bd. LVIII (1952-3).</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w:t>
      </w:r>
      <w:r>
        <w:rPr>
          <w:color w:val="000000"/>
          <w:spacing w:val="0"/>
          <w:w w:val="100"/>
          <w:shd w:fill="auto" w:val="clear"/>
          <w:lang w:val="en-US" w:eastAsia="en-US" w:bidi="en-US"/>
        </w:rPr>
        <w:t>. „Der Rousseau-Kult und die Französische Revolution.“ Das Journal of the History of Ideas, Band XIX Nr. 2 (April 1958).</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Macpherson, C. B. „Marktkonzepte in der politischen Theorie“. The Canadian Journal of Economics and Political Science, Bd. 27 Nr. 4 (November 1961).</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w:t>
      </w:r>
      <w:r>
        <w:rPr>
          <w:color w:val="000000"/>
          <w:spacing w:val="0"/>
          <w:w w:val="100"/>
          <w:shd w:fill="auto" w:val="clear"/>
          <w:lang w:val="en-US" w:eastAsia="en-US" w:bidi="en-US"/>
        </w:rPr>
        <w:t>. "Die soziale Tragweite von Lockes politischer Theorie." Western Political Quarterly, Bd. VII Nr. 1 (1954).</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Mayo, H.B. „Wie können wir Demokratie rechtfertigen?“ American Political Science Review, Bd. LVI Nr. 3 (September 1962).</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Mazrui, Ali A. „Veräußerliche Souveränität in Rousseau: Ein weiterer Blick.“ Ethik, Bd. 77 Nr. 2 (Januar 1967).</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Morris, Bertram. "Besessener Individualismus und politische Realitäten." Ethik, Bd. LXXV Nr. 3 (April 1965).</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Nägel, Thomas. "Hobbes' Konzept der Verpflichtung." Philosophische Rezension, Bd. 68 (1959).</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Nisbet, Robert A. „Rousseau und Totalitarismus.“ Das Journal der Politik, Bd. V Nr. 2 (Mai 1943).</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Noone, John B. Jr. „Rousseaus Theorie des Naturrechts als Bedingung.“ Zeitschrift für Ideengeschichte, Bd. 33 (1972).</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w:t>
      </w:r>
      <w:r>
        <w:rPr>
          <w:color w:val="000000"/>
          <w:spacing w:val="0"/>
          <w:w w:val="100"/>
          <w:shd w:fill="auto" w:val="clear"/>
          <w:lang w:val="en-US" w:eastAsia="en-US" w:bidi="en-US"/>
        </w:rPr>
        <w:t>. „Der Gesellschaftsvertrag und die Idee der Souveränität bei Rousseau.“ Zeitschrift für Politik, Bd. XXXII (August 1970).</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O'Connor, John. "Wolff, Rawls und die Prinzipien der Gerechtigkeit." Philosophische Studien, Bd. XIX Nr. 6 (Dezember 1968).</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Pennock, J.Roland. „Hobbes' verwirrende ‚Klarheit‘ – Der Fall ‚Freiheit‘.“ American Political Science Review, Bd. LIV Nr. 2 (Juni 1960).</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Pitkin, Hanna. „Verpflichtung und Zustimmung – ich“, American Political Science Review, Vol. LIX Nr. 4 (Dezember 1965).</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Pollock, Lansing. „Ein Dilemma für Rawls?“ Philosophische Studien, XXII Nr. 3 (April 1971).</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Prosch, Harry. „Auf dem Weg zu einer Ethik des zivilen Ungehorsams.“ Ethik, Bd. 77 Nr. 3 (April 1967).</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Ranney, Austin, und Kendall, Willmoore. „Demokratie: Verwirrung und Einigung.“ The Western Political Quarterly, Bd. IV Nr. 3 (September 1951).</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Ricci, David M. „Demokratie abgeschwächt: Schumpeter, die Prozesstheorie und amerikanisches demokratisches Denken.“ Das Journal der Politik. Vol. XXXII Nr. 2 (Mai 1970).</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Riley, Patrick. "Eine mögliche Erklärung von Rousseaus Generalwillen." American Political Science Review, Bd. LXIV (März 1970).</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Rohr, John A. „Gerechte Kriege und selektive Verweigerer.“ Der Rückblick auf die Politik, Bd. 33 Nr. 2 (April 1971).</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Rosen, Friedrich. „Verpflichtung und Freundschaft in Platons Krito.“ Politische Theorie, Bd. 1 Nr. 3 (August 1973).</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Runciman, W.G., und Sen, A.K. "Spiele, Gerechtigkeit und der allgemeine Wille." Geist. Vol. LXXIV (1965).</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Ryan, Allen. "Locke und die Diktatur der Bourgeoisie." Politische Studien, Bd. XII (1965).</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Seliger, M. „Lockes Naturgesetz und die Grundlage der Politik.“ Zeitschrift für Ideengeschichte, Bd. XXIV Nr. 3 (1963).</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Singh, Raghuveer. "John Locke und die Theorie des Naturrechts." Politische Studien, Bd. IX Nr. 2 (Juni 1961).</w:t>
      </w:r>
    </w:p>
    <w:p>
      <w:pPr>
        <w:pStyle w:val="Flietext1"/>
        <w:keepNext w:val="false"/>
        <w:keepLines w:val="false"/>
        <w:widowControl w:val="false"/>
        <w:shd w:val="clear" w:color="auto" w:fill="auto"/>
        <w:bidi w:val="0"/>
        <w:spacing w:lineRule="auto" w:line="259" w:before="0" w:after="0"/>
        <w:ind w:left="0" w:right="0" w:hanging="0"/>
        <w:jc w:val="left"/>
        <w:rPr/>
      </w:pPr>
      <w:r>
        <w:rPr>
          <w:color w:val="000000"/>
          <w:spacing w:val="0"/>
          <w:w w:val="100"/>
          <w:shd w:fill="auto" w:val="clear"/>
          <w:lang w:val="en-US" w:eastAsia="en-US" w:bidi="en-US"/>
        </w:rPr>
        <w:t>Smyth, J. „Das Gefangenendilemma, II.“ Geist, Bd. LXXXI (1972).</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Spitz, David A. „Über die Freuden des Missverständnisses der Freiheit.“ Widerspruch, Bd. XIII Nr. 6 (November-Dezember 1966).</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Strauß, Leo. "Lockes Lehre vom Naturrecht." American Political Science Review, Bd. LII Nr. 4 (Dezember 1958).</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Swabey, MarieCollins. „Demokratie und der Quantitätsbegriff“. Das Internationale Journal für Ethik, Bd. XXXVII Nr. 2 (Januar 1927).</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Taylor, A. E. „Die ethische Lehre von Hobbes.“ Philosophie, Bd. 13 Nr. 52 (Oktober 1938).</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Taylor, F.A. „Eine Anmerkung zu Rousseau, Contrat Social, Book II Ch. 3." Geist, Bd. LIX (Januar 1950).</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Weiner, Jacob. „‚Besessener Individualismus‘ als Erbsünde.“ Canadian Journal of Economics and Political Science, Bd. 29 Nr. 4 (November 1963).</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Walker, Jack L. „Eine Kritik der elitären Theorie der Demokratie.“ American Political Science Review, Bd. LX Nr. 2 (Januar 1966).</w:t>
      </w:r>
    </w:p>
    <w:p>
      <w:pPr>
        <w:pStyle w:val="Flietext1"/>
        <w:keepNext w:val="false"/>
        <w:keepLines w:val="false"/>
        <w:widowControl w:val="false"/>
        <w:shd w:val="clear" w:color="auto" w:fill="auto"/>
        <w:bidi w:val="0"/>
        <w:spacing w:lineRule="auto" w:line="259" w:before="0" w:after="0"/>
        <w:ind w:left="0" w:right="0" w:hanging="0"/>
        <w:jc w:val="left"/>
        <w:rPr/>
      </w:pPr>
      <w:r>
        <w:rPr>
          <w:color w:val="000000"/>
          <w:spacing w:val="0"/>
          <w:w w:val="100"/>
          <w:shd w:fill="auto" w:val="clear"/>
          <w:lang w:val="en-US" w:eastAsia="en-US" w:bidi="en-US"/>
        </w:rPr>
        <w:t>——</w:t>
      </w:r>
      <w:r>
        <w:rPr>
          <w:color w:val="000000"/>
          <w:spacing w:val="0"/>
          <w:w w:val="100"/>
          <w:shd w:fill="auto" w:val="clear"/>
          <w:lang w:val="en-US" w:eastAsia="en-US" w:bidi="en-US"/>
        </w:rPr>
        <w:t>. „Eine Antwort auf ‚Weitere Überlegungen zu ‚The Elitist Theory of‘</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Demokratie"'." American Political Science Review, Bd. LX Nr. 2 (Januar 1966).</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Wheeler, Harvey. „Gefahrensignale im politischen System“. Widerspruch, Bd. 10 Nr. 3 (Sommer 1957).</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Willhoite, Fred H., Jr. „Ethologie und die Tradition des politischen Denkens.“ Das Journal der Politik, Bd. 33 (1971).</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Wolff, Robert Paul. "Eine Widerlegung des Rawls-Theorems über die Gerechtigkeit." Zeitschrift für Philosophie, Bd. LXIII Nr. 7 (März 1966).</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Wollheim, Richard. "Demokratie." Zeitschrift für Ideengeschichte, Bd. XIX Nr. 2 (April 1958).</w:t>
      </w:r>
    </w:p>
    <w:p>
      <w:p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Yarros, Victor S. „Demokratie oder was? Jüngste Angriffe auf und Rechtfertigungen der modernen Volksregierung.“ Internationales Journal für Ethik, Bd. XXXII Nr. 4 (Juli 1923).</w:t>
      </w:r>
    </w:p>
    <w:p>
      <w:pPr>
        <w:sectPr>
          <w:footerReference w:type="even" r:id="rId45"/>
          <w:footerReference w:type="default" r:id="rId46"/>
          <w:type w:val="nextPage"/>
          <w:pgSz w:w="12240" w:h="15840"/>
          <w:pgMar w:left="1455" w:right="1512" w:gutter="0" w:header="0" w:top="1429" w:footer="971" w:bottom="1399"/>
          <w:pgNumType w:fmt="decimal"/>
          <w:formProt w:val="false"/>
          <w:textDirection w:val="lrTb"/>
          <w:docGrid w:type="default" w:linePitch="360" w:charSpace="0"/>
        </w:sectPr>
        <w:pStyle w:val="Flietext1"/>
        <w:keepNext w:val="false"/>
        <w:keepLines w:val="false"/>
        <w:widowControl w:val="false"/>
        <w:shd w:val="clear" w:color="auto" w:fill="auto"/>
        <w:bidi w:val="0"/>
        <w:spacing w:lineRule="auto" w:line="259" w:before="0" w:after="0"/>
        <w:ind w:left="620" w:right="0" w:hanging="620"/>
        <w:jc w:val="left"/>
        <w:rPr/>
      </w:pPr>
      <w:r>
        <w:rPr>
          <w:color w:val="000000"/>
          <w:spacing w:val="0"/>
          <w:w w:val="100"/>
          <w:shd w:fill="auto" w:val="clear"/>
          <w:lang w:val="en-US" w:eastAsia="en-US" w:bidi="en-US"/>
        </w:rPr>
        <w:t>Yolton, John W. „Locke über das Naturgesetz.“ Philosophische Rezension, Bd. LXVII Nr. 4 (Oktober 1958).</w:t>
      </w:r>
    </w:p>
    <w:p>
      <w:pPr>
        <w:pStyle w:val="Flietext1"/>
        <w:keepNext w:val="false"/>
        <w:keepLines w:val="false"/>
        <w:widowControl w:val="false"/>
        <w:shd w:val="clear" w:color="auto" w:fill="auto"/>
        <w:bidi w:val="0"/>
        <w:spacing w:lineRule="auto" w:line="240" w:before="0" w:after="0"/>
        <w:ind w:left="0" w:right="0" w:hanging="0"/>
        <w:jc w:val="left"/>
        <w:rPr/>
      </w:pPr>
      <w:r>
        <w:rPr>
          <w:color w:val="000000"/>
          <w:spacing w:val="0"/>
          <w:w w:val="100"/>
          <w:shd w:fill="auto" w:val="clear"/>
          <w:lang w:val="de-DE" w:eastAsia="de-DE" w:bidi="de-DE"/>
        </w:rPr>
        <w:t>^-Cover.jpg</w:t>
      </w:r>
    </w:p>
    <w:sectPr>
      <w:footerReference w:type="even" r:id="rId47"/>
      <w:footerReference w:type="default" r:id="rId48"/>
      <w:type w:val="nextPage"/>
      <w:pgSz w:w="12240" w:h="15840"/>
      <w:pgMar w:left="1483" w:right="1526" w:gutter="0" w:header="0" w:top="1426" w:footer="998" w:bottom="1426"/>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Microsoft Sans Serif">
    <w:charset w:val="00"/>
    <w:family w:val="roman"/>
    <w:pitch w:val="variable"/>
  </w:font>
  <w:font w:name="Arial">
    <w:charset w:val="00"/>
    <w:family w:val="roman"/>
    <w:pitch w:val="variable"/>
  </w:font>
  <w:font w:name="Courier New">
    <w:charset w:val="00"/>
    <w:family w:val="roman"/>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mc:AlternateContent>
        <mc:Choice Requires="wps">
          <w:drawing>
            <wp:anchor behindDoc="1" distT="0" distB="0" distL="0" distR="0" simplePos="0" locked="0" layoutInCell="0" allowOverlap="1" relativeHeight="2">
              <wp:simplePos x="0" y="0"/>
              <wp:positionH relativeFrom="page">
                <wp:posOffset>0</wp:posOffset>
              </wp:positionH>
              <wp:positionV relativeFrom="page">
                <wp:posOffset>0</wp:posOffset>
              </wp:positionV>
              <wp:extent cx="1612265" cy="109855"/>
              <wp:effectExtent l="635" t="635" r="0" b="0"/>
              <wp:wrapNone/>
              <wp:docPr id="1" name="Shape 2"/>
              <a:graphic xmlns:a="http://schemas.openxmlformats.org/drawingml/2006/main">
                <a:graphicData uri="http://schemas.microsoft.com/office/word/2010/wordprocessingShape">
                  <wps:wsp>
                    <wps:cNvSpPr/>
                    <wps:spPr>
                      <a:xfrm>
                        <a:off x="0" y="0"/>
                        <a:ext cx="1612440" cy="109800"/>
                      </a:xfrm>
                      <a:prstGeom prst="rect">
                        <a:avLst/>
                      </a:prstGeom>
                      <a:noFill/>
                      <a:ln w="0">
                        <a:noFill/>
                      </a:ln>
                    </wps:spPr>
                    <wps:style>
                      <a:lnRef idx="0"/>
                      <a:fillRef idx="0"/>
                      <a:effectRef idx="0"/>
                      <a:fontRef idx="minor"/>
                    </wps:style>
                    <wps:txbx>
                      <w:txbxContent>
                        <w:p>
                          <w:pPr>
                            <w:pStyle w:val="KopfoderFuzeile21"/>
                            <w:keepNext w:val="false"/>
                            <w:keepLines w:val="false"/>
                            <w:widowControl w:val="false"/>
                            <w:shd w:val="clear" w:color="auto" w:fill="auto"/>
                            <w:bidi w:val="0"/>
                            <w:spacing w:lineRule="auto" w:line="240" w:before="0" w:after="0"/>
                            <w:ind w:left="0" w:right="0" w:hanging="0"/>
                            <w:jc w:val="left"/>
                            <w:rPr/>
                          </w:pPr>
                          <w:r>
                            <w:rPr>
                              <w:rFonts w:eastAsia="Arial" w:cs="Arial" w:ascii="Arial" w:hAnsi="Arial"/>
                              <w:color w:val="4D4D4D"/>
                              <w:spacing w:val="0"/>
                              <w:w w:val="100"/>
                              <w:shd w:fill="auto" w:val="clear"/>
                              <w:lang w:val="en-US" w:eastAsia="en-US" w:bidi="en-US"/>
                            </w:rPr>
                            <w:t xml:space="preserve">LONDON AND NEW </w:t>
                          </w:r>
                          <w:r>
                            <w:rPr>
                              <w:rFonts w:eastAsia="Arial" w:cs="Arial" w:ascii="Arial" w:hAnsi="Arial"/>
                              <w:color w:val="686868"/>
                              <w:spacing w:val="0"/>
                              <w:w w:val="100"/>
                              <w:shd w:fill="auto" w:val="clear"/>
                              <w:lang w:val="en-US" w:eastAsia="en-US" w:bidi="en-US"/>
                            </w:rPr>
                            <w:t>YORK</w:t>
                          </w:r>
                        </w:p>
                      </w:txbxContent>
                    </wps:txbx>
                    <wps:bodyPr lIns="0" rIns="0" tIns="0" bIns="0" anchor="t">
                      <a:spAutoFit/>
                    </wps:bodyPr>
                  </wps:wsp>
                </a:graphicData>
              </a:graphic>
            </wp:anchor>
          </w:drawing>
        </mc:Choice>
        <mc:Fallback>
          <w:pict>
            <v:rect id="shape_0" ID="Shape 2" path="m0,0l-2147483645,0l-2147483645,-2147483646l0,-2147483646xe" stroked="f" o:allowincell="f" style="position:absolute;margin-left:241.45pt;margin-top:687pt;width:126.9pt;height:8.6pt;mso-wrap-style:none;v-text-anchor:top;mso-position-horizontal-relative:page;mso-position-vertical-relative:page">
              <v:fill o:detectmouseclick="t" on="false"/>
              <v:stroke color="#3465a4" joinstyle="round" endcap="flat"/>
              <v:textbox>
                <w:txbxContent>
                  <w:p>
                    <w:pPr>
                      <w:pStyle w:val="KopfoderFuzeile21"/>
                      <w:keepNext w:val="false"/>
                      <w:keepLines w:val="false"/>
                      <w:widowControl w:val="false"/>
                      <w:shd w:val="clear" w:color="auto" w:fill="auto"/>
                      <w:bidi w:val="0"/>
                      <w:spacing w:lineRule="auto" w:line="240" w:before="0" w:after="0"/>
                      <w:ind w:left="0" w:right="0" w:hanging="0"/>
                      <w:jc w:val="left"/>
                      <w:rPr/>
                    </w:pPr>
                    <w:r>
                      <w:rPr>
                        <w:rFonts w:eastAsia="Arial" w:cs="Arial" w:ascii="Arial" w:hAnsi="Arial"/>
                        <w:color w:val="4D4D4D"/>
                        <w:spacing w:val="0"/>
                        <w:w w:val="100"/>
                        <w:shd w:fill="auto" w:val="clear"/>
                        <w:lang w:val="en-US" w:eastAsia="en-US" w:bidi="en-US"/>
                      </w:rPr>
                      <w:t xml:space="preserve">LONDON AND NEW </w:t>
                    </w:r>
                    <w:r>
                      <w:rPr>
                        <w:rFonts w:eastAsia="Arial" w:cs="Arial" w:ascii="Arial" w:hAnsi="Arial"/>
                        <w:color w:val="686868"/>
                        <w:spacing w:val="0"/>
                        <w:w w:val="100"/>
                        <w:shd w:fill="auto" w:val="clear"/>
                        <w:lang w:val="en-US" w:eastAsia="en-US" w:bidi="en-US"/>
                      </w:rPr>
                      <w:t>YORK</w:t>
                    </w:r>
                  </w:p>
                </w:txbxContent>
              </v:textbox>
              <w10:wrap type="none"/>
            </v:rect>
          </w:pict>
        </mc:Fallback>
      </mc:AlternateConten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mc:AlternateContent>
        <mc:Choice Requires="wps">
          <w:drawing>
            <wp:anchor behindDoc="1" distT="0" distB="0" distL="0" distR="0" simplePos="0" locked="0" layoutInCell="0" allowOverlap="1" relativeHeight="6">
              <wp:simplePos x="0" y="0"/>
              <wp:positionH relativeFrom="page">
                <wp:posOffset>3066415</wp:posOffset>
              </wp:positionH>
              <wp:positionV relativeFrom="page">
                <wp:posOffset>8724900</wp:posOffset>
              </wp:positionV>
              <wp:extent cx="1612265" cy="144780"/>
              <wp:effectExtent l="635" t="0" r="0" b="0"/>
              <wp:wrapNone/>
              <wp:docPr id="6" name="Shape 1"/>
              <a:graphic xmlns:a="http://schemas.openxmlformats.org/drawingml/2006/main">
                <a:graphicData uri="http://schemas.microsoft.com/office/word/2010/wordprocessingShape">
                  <wps:wsp>
                    <wps:cNvSpPr/>
                    <wps:spPr>
                      <a:xfrm>
                        <a:off x="0" y="0"/>
                        <a:ext cx="1612440" cy="144720"/>
                      </a:xfrm>
                      <a:prstGeom prst="rect">
                        <a:avLst/>
                      </a:prstGeom>
                      <a:noFill/>
                      <a:ln w="0">
                        <a:noFill/>
                      </a:ln>
                    </wps:spPr>
                    <wps:style>
                      <a:lnRef idx="0"/>
                      <a:fillRef idx="0"/>
                      <a:effectRef idx="0"/>
                      <a:fontRef idx="minor"/>
                    </wps:style>
                    <wps:txbx>
                      <w:txbxContent>
                        <w:p>
                          <w:pPr>
                            <w:pStyle w:val="KopfoderFuzeile21"/>
                            <w:keepNext w:val="false"/>
                            <w:keepLines w:val="false"/>
                            <w:widowControl w:val="false"/>
                            <w:shd w:val="clear" w:color="auto" w:fill="auto"/>
                            <w:bidi w:val="0"/>
                            <w:spacing w:lineRule="auto" w:line="240" w:before="0" w:after="0"/>
                            <w:ind w:left="0" w:right="0" w:hanging="0"/>
                            <w:jc w:val="left"/>
                            <w:rPr/>
                          </w:pPr>
                          <w:r>
                            <w:rPr>
                              <w:rFonts w:eastAsia="Arial" w:cs="Arial" w:ascii="Arial" w:hAnsi="Arial"/>
                              <w:color w:val="4D4D4D"/>
                              <w:spacing w:val="0"/>
                              <w:w w:val="100"/>
                              <w:shd w:fill="auto" w:val="clear"/>
                              <w:lang w:val="en-US" w:eastAsia="en-US" w:bidi="en-US"/>
                            </w:rPr>
                            <w:t xml:space="preserve">LONDON AND NEW </w:t>
                          </w:r>
                          <w:r>
                            <w:rPr>
                              <w:rFonts w:eastAsia="Arial" w:cs="Arial" w:ascii="Arial" w:hAnsi="Arial"/>
                              <w:color w:val="686868"/>
                              <w:spacing w:val="0"/>
                              <w:w w:val="100"/>
                              <w:shd w:fill="auto" w:val="clear"/>
                              <w:lang w:val="en-US" w:eastAsia="en-US" w:bidi="en-US"/>
                            </w:rPr>
                            <w:t>YORK</w:t>
                          </w:r>
                        </w:p>
                      </w:txbxContent>
                    </wps:txbx>
                    <wps:bodyPr lIns="0" rIns="0" tIns="0" bIns="0" anchor="t">
                      <a:spAutoFit/>
                    </wps:bodyPr>
                  </wps:wsp>
                </a:graphicData>
              </a:graphic>
            </wp:anchor>
          </w:drawing>
        </mc:Choice>
        <mc:Fallback>
          <w:pict>
            <v:rect id="shape_0" ID="Shape 1" path="m0,0l-2147483645,0l-2147483645,-2147483646l0,-2147483646xe" stroked="f" o:allowincell="f" style="position:absolute;margin-left:241.45pt;margin-top:687pt;width:126.9pt;height:11.35pt;mso-wrap-style:none;v-text-anchor:top;mso-position-horizontal-relative:page;mso-position-vertical-relative:page">
              <v:fill o:detectmouseclick="t" on="false"/>
              <v:stroke color="#3465a4" joinstyle="round" endcap="flat"/>
              <v:textbox>
                <w:txbxContent>
                  <w:p>
                    <w:pPr>
                      <w:pStyle w:val="KopfoderFuzeile21"/>
                      <w:keepNext w:val="false"/>
                      <w:keepLines w:val="false"/>
                      <w:widowControl w:val="false"/>
                      <w:shd w:val="clear" w:color="auto" w:fill="auto"/>
                      <w:bidi w:val="0"/>
                      <w:spacing w:lineRule="auto" w:line="240" w:before="0" w:after="0"/>
                      <w:ind w:left="0" w:right="0" w:hanging="0"/>
                      <w:jc w:val="left"/>
                      <w:rPr/>
                    </w:pPr>
                    <w:r>
                      <w:rPr>
                        <w:rFonts w:eastAsia="Arial" w:cs="Arial" w:ascii="Arial" w:hAnsi="Arial"/>
                        <w:color w:val="4D4D4D"/>
                        <w:spacing w:val="0"/>
                        <w:w w:val="100"/>
                        <w:shd w:fill="auto" w:val="clear"/>
                        <w:lang w:val="en-US" w:eastAsia="en-US" w:bidi="en-US"/>
                      </w:rPr>
                      <w:t xml:space="preserve">LONDON AND NEW </w:t>
                    </w:r>
                    <w:r>
                      <w:rPr>
                        <w:rFonts w:eastAsia="Arial" w:cs="Arial" w:ascii="Arial" w:hAnsi="Arial"/>
                        <w:color w:val="686868"/>
                        <w:spacing w:val="0"/>
                        <w:w w:val="100"/>
                        <w:shd w:fill="auto" w:val="clear"/>
                        <w:lang w:val="en-US" w:eastAsia="en-US" w:bidi="en-US"/>
                      </w:rPr>
                      <w:t>YORK</w:t>
                    </w:r>
                  </w:p>
                </w:txbxContent>
              </v:textbox>
              <w10:wrap type="none"/>
            </v:rect>
          </w:pict>
        </mc:Fallback>
      </mc:AlternateContent>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ftr>
</file>

<file path=word/footer1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ftr>
</file>

<file path=word/footer1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ftr>
</file>

<file path=word/footer1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ftr>
</file>

<file path=word/footer1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ftr>
</file>

<file path=word/footer1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ftr>
</file>

<file path=word/footer1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ftr>
</file>

<file path=word/footer1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ftr>
</file>

<file path=word/footer1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ftr>
</file>

<file path=word/footer1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ftr>
</file>

<file path=word/footer1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ftr>
</file>

<file path=word/footer2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ftr>
</file>

<file path=word/footer2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ftr>
</file>

<file path=word/footer2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ftr>
</file>

<file path=word/footer2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ftr>
</file>

<file path=word/footer2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ftr>
</file>

<file path=word/footer2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ftr>
</file>

<file path=word/footer2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ftr>
</file>

<file path=word/footer2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ftr>
</file>

<file path=word/footer2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ftr>
</file>

<file path=word/footer2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ftr>
</file>

<file path=word/footer3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ftr>
</file>

<file path=word/footer3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ftr>
</file>

<file path=word/footer3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ftr>
</file>

<file path=word/footer3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ftr>
</file>

<file path=word/footer3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ftr>
</file>

<file path=word/footer3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ftr>
</file>

<file path=word/footer3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ftr>
</file>

<file path=word/footer3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ftr>
</file>

<file path=word/footer3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ftr>
</file>

<file path=word/footer3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ftr>
</file>

<file path=word/footer4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ftr>
</file>

<file path=word/footer4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ftr>
</file>

<file path=word/footer4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ftr>
</file>

<file path=word/footer4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ftr>
</file>

<file path=word/footer4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ftr>
</file>

<file path=word/footer4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ftr>
</file>

<file path=word/footer4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decimal"/>
      <w:lvlText w:val="%1."/>
      <w:lvlJc w:val="left"/>
      <w:pPr>
        <w:tabs>
          <w:tab w:val="num" w:pos="0"/>
        </w:tabs>
        <w:ind w:left="0" w:hanging="0"/>
      </w:pPr>
      <w:rPr>
        <w:smallCaps w:val="false"/>
        <w:caps w:val="false"/>
        <w:dstrike w:val="false"/>
        <w:strike w:val="false"/>
        <w:sz w:val="28"/>
        <w:spacing w:val="0"/>
        <w:i w:val="false"/>
        <w:u w:val="none"/>
        <w:b w:val="false"/>
        <w:shd w:fill="auto" w:val="clear"/>
        <w:szCs w:val="28"/>
        <w:iCs w:val="false"/>
        <w:bCs w:val="false"/>
        <w:w w:val="100"/>
        <w:rFonts w:ascii="Times New Roman" w:hAnsi="Times New Roman" w:eastAsia="Times New Roman" w:cs="Times New Roman"/>
        <w:color w:val="0000EE"/>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decimal"/>
      <w:lvlText w:val="%1."/>
      <w:lvlJc w:val="left"/>
      <w:pPr>
        <w:tabs>
          <w:tab w:val="num" w:pos="0"/>
        </w:tabs>
        <w:ind w:left="0" w:hanging="0"/>
      </w:pPr>
      <w:rPr>
        <w:smallCaps w:val="false"/>
        <w:caps w:val="false"/>
        <w:dstrike w:val="false"/>
        <w:strike w:val="false"/>
        <w:sz w:val="42"/>
        <w:spacing w:val="0"/>
        <w:i w:val="false"/>
        <w:u w:val="none"/>
        <w:b/>
        <w:shd w:fill="auto" w:val="clear"/>
        <w:szCs w:val="42"/>
        <w:iCs w:val="false"/>
        <w:bCs/>
        <w:w w:val="100"/>
        <w:rFonts w:ascii="Times New Roman" w:hAnsi="Times New Roman" w:eastAsia="Times New Roman" w:cs="Times New Roman"/>
        <w:color w:val="0000EE"/>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lvl w:ilvl="0">
      <w:start w:val="1"/>
      <w:numFmt w:val="bullet"/>
      <w:lvlText w:val="•"/>
      <w:lvlJc w:val="left"/>
      <w:pPr>
        <w:tabs>
          <w:tab w:val="num" w:pos="0"/>
        </w:tabs>
        <w:ind w:left="0" w:hanging="0"/>
      </w:pPr>
      <w:rPr>
        <w:rFonts w:ascii="Times New Roman" w:hAnsi="Times New Roman" w:cs="Times New Roman" w:hint="default"/>
        <w:smallCaps w:val="false"/>
        <w:caps w:val="false"/>
        <w:dstrike w:val="false"/>
        <w:strike w:val="false"/>
        <w:sz w:val="28"/>
        <w:spacing w:val="0"/>
        <w:i w:val="false"/>
        <w:u w:val="none"/>
        <w:b w:val="false"/>
        <w:shd w:fill="auto" w:val="clear"/>
        <w:szCs w:val="28"/>
        <w:iCs w:val="false"/>
        <w:bCs w:val="false"/>
        <w:w w:val="100"/>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lvl w:ilvl="0">
      <w:start w:val="18"/>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lvl w:ilvl="0">
      <w:start w:val="43"/>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lvl w:ilvl="0">
      <w:start w:val="54"/>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lvl w:ilvl="0">
      <w:start w:val="61"/>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lvl w:ilvl="0">
      <w:start w:val="76"/>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lvl w:ilvl="0">
      <w:start w:val="88"/>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lvl w:ilvl="0">
      <w:start w:val="87"/>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lvl w:ilvl="0">
      <w:start w:val="105"/>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lvl w:ilvl="0">
      <w:start w:val="4"/>
      <w:numFmt w:val="decimal"/>
      <w:lvlText w:val="%1."/>
      <w:lvlJc w:val="left"/>
      <w:pPr>
        <w:tabs>
          <w:tab w:val="num" w:pos="0"/>
        </w:tabs>
        <w:ind w:left="0" w:hanging="0"/>
      </w:pPr>
      <w:rPr>
        <w:smallCaps w:val="false"/>
        <w:caps w:val="false"/>
        <w:dstrike w:val="false"/>
        <w:strike w:val="false"/>
        <w:sz w:val="42"/>
        <w:spacing w:val="0"/>
        <w:i w:val="false"/>
        <w:u w:val="none"/>
        <w:b/>
        <w:shd w:fill="auto" w:val="clear"/>
        <w:szCs w:val="42"/>
        <w:iCs w:val="false"/>
        <w:bCs/>
        <w:w w:val="100"/>
        <w:rFonts w:ascii="Times New Roman" w:hAnsi="Times New Roman" w:eastAsia="Times New Roman" w:cs="Times New Roman"/>
        <w:color w:val="0000EE"/>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lvl w:ilvl="0">
      <w:start w:val="109"/>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lvl w:ilvl="0">
      <w:start w:val="123"/>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lvl w:ilvl="0">
      <w:start w:val="136"/>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lvl w:ilvl="0">
      <w:start w:val="160"/>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lvl w:ilvl="0">
      <w:start w:val="169"/>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lvl w:ilvl="0">
      <w:start w:val="173"/>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lvl w:ilvl="0">
      <w:start w:val="212"/>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lvl w:ilvl="0">
      <w:start w:val="5"/>
      <w:numFmt w:val="decimal"/>
      <w:lvlText w:val="%1."/>
      <w:lvlJc w:val="left"/>
      <w:pPr>
        <w:tabs>
          <w:tab w:val="num" w:pos="0"/>
        </w:tabs>
        <w:ind w:left="0" w:hanging="0"/>
      </w:pPr>
      <w:rPr>
        <w:smallCaps w:val="false"/>
        <w:caps w:val="false"/>
        <w:dstrike w:val="false"/>
        <w:strike w:val="false"/>
        <w:sz w:val="42"/>
        <w:spacing w:val="0"/>
        <w:i w:val="false"/>
        <w:u w:val="none"/>
        <w:b/>
        <w:shd w:fill="auto" w:val="clear"/>
        <w:szCs w:val="42"/>
        <w:iCs w:val="false"/>
        <w:bCs/>
        <w:w w:val="100"/>
        <w:rFonts w:ascii="Times New Roman" w:hAnsi="Times New Roman" w:eastAsia="Times New Roman" w:cs="Times New Roman"/>
        <w:color w:val="0000EE"/>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lvl w:ilvl="0">
      <w:start w:val="223"/>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lvl w:ilvl="0">
      <w:start w:val="226"/>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lvl w:ilvl="0">
      <w:start w:val="270"/>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lvl w:ilvl="0">
      <w:start w:val="281"/>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lvl w:ilvl="0">
      <w:start w:val="319"/>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lvl w:ilvl="0">
      <w:start w:val="334"/>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lvl w:ilvl="0">
      <w:start w:val="338"/>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lvl w:ilvl="0">
      <w:start w:val="368"/>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lvl w:ilvl="0">
      <w:start w:val="375"/>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lvl w:ilvl="0">
      <w:start w:val="6"/>
      <w:numFmt w:val="decimal"/>
      <w:lvlText w:val="%1."/>
      <w:lvlJc w:val="left"/>
      <w:pPr>
        <w:tabs>
          <w:tab w:val="num" w:pos="0"/>
        </w:tabs>
        <w:ind w:left="0" w:hanging="0"/>
      </w:pPr>
      <w:rPr>
        <w:smallCaps w:val="false"/>
        <w:caps w:val="false"/>
        <w:dstrike w:val="false"/>
        <w:strike w:val="false"/>
        <w:sz w:val="42"/>
        <w:spacing w:val="0"/>
        <w:i w:val="false"/>
        <w:u w:val="none"/>
        <w:b/>
        <w:shd w:fill="auto" w:val="clear"/>
        <w:szCs w:val="42"/>
        <w:iCs w:val="false"/>
        <w:bCs/>
        <w:w w:val="100"/>
        <w:rFonts w:ascii="Times New Roman" w:hAnsi="Times New Roman" w:eastAsia="Times New Roman" w:cs="Times New Roman"/>
        <w:color w:val="0000EE"/>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lvl w:ilvl="0">
      <w:start w:val="394"/>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lvl w:ilvl="0">
      <w:start w:val="408"/>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lvl w:ilvl="0">
      <w:start w:val="413"/>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lvl w:ilvl="0">
      <w:start w:val="435"/>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7">
    <w:lvl w:ilvl="0">
      <w:start w:val="7"/>
      <w:numFmt w:val="decimal"/>
      <w:lvlText w:val="%1."/>
      <w:lvlJc w:val="left"/>
      <w:pPr>
        <w:tabs>
          <w:tab w:val="num" w:pos="0"/>
        </w:tabs>
        <w:ind w:left="0" w:hanging="0"/>
      </w:pPr>
      <w:rPr>
        <w:smallCaps w:val="false"/>
        <w:caps w:val="false"/>
        <w:dstrike w:val="false"/>
        <w:strike w:val="false"/>
        <w:sz w:val="42"/>
        <w:spacing w:val="0"/>
        <w:i w:val="false"/>
        <w:u w:val="none"/>
        <w:b/>
        <w:shd w:fill="auto" w:val="clear"/>
        <w:szCs w:val="42"/>
        <w:iCs w:val="false"/>
        <w:bCs/>
        <w:w w:val="100"/>
        <w:rFonts w:ascii="Times New Roman" w:hAnsi="Times New Roman" w:eastAsia="Times New Roman" w:cs="Times New Roman"/>
        <w:color w:val="0000EE"/>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8">
    <w:lvl w:ilvl="0">
      <w:start w:val="441"/>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9">
    <w:lvl w:ilvl="0">
      <w:start w:val="447"/>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0">
    <w:lvl w:ilvl="0">
      <w:start w:val="456"/>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1">
    <w:lvl w:ilvl="0">
      <w:start w:val="458"/>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2">
    <w:lvl w:ilvl="0">
      <w:start w:val="462"/>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3">
    <w:lvl w:ilvl="0">
      <w:start w:val="486"/>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4">
    <w:lvl w:ilvl="0">
      <w:start w:val="519"/>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5">
    <w:lvl w:ilvl="0">
      <w:start w:val="1"/>
      <w:numFmt w:val="upperLetter"/>
      <w:lvlText w:val="%1."/>
      <w:lvlJc w:val="left"/>
      <w:pPr>
        <w:tabs>
          <w:tab w:val="num" w:pos="0"/>
        </w:tabs>
        <w:ind w:left="0" w:hanging="0"/>
      </w:pPr>
      <w:rPr>
        <w:smallCaps w:val="false"/>
        <w:caps w:val="false"/>
        <w:dstrike w:val="false"/>
        <w:strike w:val="false"/>
        <w:sz w:val="28"/>
        <w:spacing w:val="0"/>
        <w:i w:val="false"/>
        <w:u w:val="single"/>
        <w:b w:val="false"/>
        <w:shd w:fill="auto" w:val="clear"/>
        <w:szCs w:val="28"/>
        <w:iCs w:val="false"/>
        <w:bCs w:val="false"/>
        <w:w w:val="100"/>
        <w:rFonts w:ascii="Times New Roman" w:hAnsi="Times New Roman" w:eastAsia="Times New Roman" w:cs="Times New Roman"/>
        <w:color w:val="000000"/>
        <w:lang w:val="de-DE" w:eastAsia="de-DE" w:bidi="de-D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6">
    <w:lvl w:ilvl="0">
      <w:start w:val="524"/>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7">
    <w:lvl w:ilvl="0">
      <w:start w:val="540"/>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8">
    <w:lvl w:ilvl="0">
      <w:start w:val="545"/>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9">
    <w:lvl w:ilvl="0">
      <w:start w:val="9"/>
      <w:numFmt w:val="decimal"/>
      <w:lvlText w:val="%1."/>
      <w:lvlJc w:val="left"/>
      <w:pPr>
        <w:tabs>
          <w:tab w:val="num" w:pos="0"/>
        </w:tabs>
        <w:ind w:left="0" w:hanging="0"/>
      </w:pPr>
      <w:rPr>
        <w:smallCaps w:val="false"/>
        <w:caps w:val="false"/>
        <w:dstrike w:val="false"/>
        <w:strike w:val="false"/>
        <w:sz w:val="42"/>
        <w:spacing w:val="0"/>
        <w:i w:val="false"/>
        <w:u w:val="none"/>
        <w:b/>
        <w:shd w:fill="auto" w:val="clear"/>
        <w:szCs w:val="42"/>
        <w:iCs w:val="false"/>
        <w:bCs/>
        <w:w w:val="100"/>
        <w:rFonts w:ascii="Times New Roman" w:hAnsi="Times New Roman" w:eastAsia="Times New Roman" w:cs="Times New Roman"/>
        <w:color w:val="0000EE"/>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0">
    <w:lvl w:ilvl="0">
      <w:start w:val="554"/>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1">
    <w:lvl w:ilvl="0">
      <w:start w:val="556"/>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2">
    <w:lvl w:ilvl="0">
      <w:start w:val="576"/>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3">
    <w:lvl w:ilvl="0">
      <w:start w:val="590"/>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4">
    <w:lvl w:ilvl="0">
      <w:start w:val="598"/>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5">
    <w:lvl w:ilvl="0">
      <w:start w:val="611"/>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6">
    <w:lvl w:ilvl="0">
      <w:start w:val="622"/>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7">
    <w:lvl w:ilvl="0">
      <w:start w:val="10"/>
      <w:numFmt w:val="decimal"/>
      <w:lvlText w:val="%1."/>
      <w:lvlJc w:val="left"/>
      <w:pPr>
        <w:tabs>
          <w:tab w:val="num" w:pos="0"/>
        </w:tabs>
        <w:ind w:left="0" w:hanging="0"/>
      </w:pPr>
      <w:rPr>
        <w:smallCaps w:val="false"/>
        <w:caps w:val="false"/>
        <w:dstrike w:val="false"/>
        <w:strike w:val="false"/>
        <w:sz w:val="42"/>
        <w:spacing w:val="0"/>
        <w:i w:val="false"/>
        <w:u w:val="none"/>
        <w:b/>
        <w:shd w:fill="auto" w:val="clear"/>
        <w:szCs w:val="42"/>
        <w:iCs w:val="false"/>
        <w:bCs/>
        <w:w w:val="100"/>
        <w:rFonts w:ascii="Times New Roman" w:hAnsi="Times New Roman" w:eastAsia="Times New Roman" w:cs="Times New Roman"/>
        <w:color w:val="0000EE"/>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8">
    <w:lvl w:ilvl="0">
      <w:start w:val="638"/>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9">
    <w:lvl w:ilvl="0">
      <w:start w:val="1"/>
      <w:numFmt w:val="bullet"/>
      <w:lvlText w:val="•"/>
      <w:lvlJc w:val="left"/>
      <w:pPr>
        <w:tabs>
          <w:tab w:val="num" w:pos="0"/>
        </w:tabs>
        <w:ind w:left="0" w:hanging="0"/>
      </w:pPr>
      <w:rPr>
        <w:rFonts w:ascii="Times New Roman" w:hAnsi="Times New Roman" w:cs="Times New Roman" w:hint="default"/>
        <w:smallCaps w:val="false"/>
        <w:caps w:val="false"/>
        <w:dstrike w:val="false"/>
        <w:strike w:val="false"/>
        <w:sz w:val="28"/>
        <w:spacing w:val="0"/>
        <w:i w:val="false"/>
        <w:u w:val="none"/>
        <w:b w:val="false"/>
        <w:shd w:fill="auto" w:val="clear"/>
        <w:szCs w:val="28"/>
        <w:iCs w:val="false"/>
        <w:bCs w:val="false"/>
        <w:w w:val="100"/>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0">
    <w:lvl w:ilvl="0">
      <w:start w:val="650"/>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1">
    <w:lvl w:ilvl="0">
      <w:start w:val="659"/>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2">
    <w:lvl w:ilvl="0">
      <w:start w:val="675"/>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3">
    <w:lvl w:ilvl="0">
      <w:start w:val="682"/>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4">
    <w:lvl w:ilvl="0">
      <w:start w:val="687"/>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5">
    <w:lvl w:ilvl="0">
      <w:start w:val="716"/>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de-DE" w:eastAsia="de-DE" w:bidi="de-D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6">
    <w:lvl w:ilvl="0">
      <w:start w:val="1"/>
      <w:numFmt w:val="bullet"/>
      <w:lvlText w:val="•"/>
      <w:lvlJc w:val="left"/>
      <w:pPr>
        <w:tabs>
          <w:tab w:val="num" w:pos="0"/>
        </w:tabs>
        <w:ind w:left="0" w:hanging="0"/>
      </w:pPr>
      <w:rPr>
        <w:rFonts w:ascii="Times New Roman" w:hAnsi="Times New Roman" w:cs="Times New Roman" w:hint="default"/>
        <w:smallCaps w:val="false"/>
        <w:caps w:val="false"/>
        <w:dstrike w:val="false"/>
        <w:strike w:val="false"/>
        <w:sz w:val="28"/>
        <w:spacing w:val="0"/>
        <w:i w:val="false"/>
        <w:u w:val="none"/>
        <w:b w:val="false"/>
        <w:shd w:fill="auto" w:val="clear"/>
        <w:szCs w:val="28"/>
        <w:iCs w:val="false"/>
        <w:bCs w:val="false"/>
        <w:w w:val="100"/>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7">
    <w:lvl w:ilvl="0">
      <w:start w:val="728"/>
      <w:numFmt w:val="decimal"/>
      <w:lvlText w:val="%1"/>
      <w:lvlJc w:val="left"/>
      <w:pPr>
        <w:tabs>
          <w:tab w:val="num" w:pos="0"/>
        </w:tabs>
        <w:ind w:left="0" w:hanging="0"/>
      </w:pPr>
      <w:rPr>
        <w:smallCaps w:val="false"/>
        <w:caps w:val="false"/>
        <w:dstrike w:val="false"/>
        <w:strike w:val="false"/>
        <w:vertAlign w:val="superscript"/>
        <w:sz w:val="28"/>
        <w:spacing w:val="0"/>
        <w:i w:val="false"/>
        <w:u w:val="none"/>
        <w:b w:val="false"/>
        <w:shd w:fill="auto" w:val="clear"/>
        <w:szCs w:val="28"/>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bering>
</file>

<file path=word/settings.xml><?xml version="1.0" encoding="utf-8"?>
<w:settings xmlns:w="http://schemas.openxmlformats.org/wordprocessingml/2006/main">
  <w:zoom w:percent="120"/>
  <w:defaultTabStop w:val="720"/>
  <w:mailMerge>
    <w:mainDocumentType w:val="formLetters"/>
    <w:dataType w:val="textFile"/>
    <w:query w:val="SELECT * FROM Contact-2022-11-18-23 02 24.dbo.Contact-2022-11-18-23 02 24$"/>
  </w:mailMerge>
  <w:autoHyphenation w:val="true"/>
  <w:evenAndOddHeaders/>
  <w:compat>
    <w:doNotExpandShiftReturn/>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Microsoft Sans Serif" w:hAnsi="Microsoft Sans Serif" w:eastAsia="Microsoft Sans Serif" w:cs="Microsoft Sans Serif"/>
        <w:sz w:val="24"/>
        <w:szCs w:val="24"/>
        <w:lang w:val="en-US" w:eastAsia="en-US" w:bidi="en-US"/>
      </w:rPr>
    </w:rPrDefault>
    <w:pPrDefault>
      <w:pPr>
        <w:suppressAutoHyphens w:val="true"/>
      </w:pPr>
    </w:pPrDefault>
  </w:docDefaults>
  <w:style w:type="paragraph" w:styleId="Normal" w:default="1">
    <w:name w:val="Normal"/>
    <w:qFormat/>
    <w:pPr>
      <w:keepNext w:val="false"/>
      <w:keepLines w:val="false"/>
      <w:widowControl w:val="false"/>
      <w:shd w:val="clear" w:color="auto" w:fill="auto"/>
      <w:bidi w:val="0"/>
      <w:spacing w:lineRule="auto" w:line="240" w:before="0" w:after="0"/>
      <w:ind w:left="0" w:right="0" w:hanging="0"/>
      <w:jc w:val="left"/>
    </w:pPr>
    <w:rPr>
      <w:rFonts w:ascii="Microsoft Sans Serif" w:hAnsi="Microsoft Sans Serif" w:eastAsia="Microsoft Sans Serif" w:cs="Microsoft Sans Serif"/>
      <w:color w:val="000000"/>
      <w:spacing w:val="0"/>
      <w:w w:val="100"/>
      <w:kern w:val="0"/>
      <w:sz w:val="24"/>
      <w:szCs w:val="24"/>
      <w:shd w:fill="auto" w:val="clear"/>
      <w:lang w:val="en-US" w:eastAsia="en-US" w:bidi="en-US"/>
    </w:rPr>
  </w:style>
  <w:style w:type="character" w:styleId="DefaultParagraphFont" w:default="1">
    <w:name w:val="Default Paragraph Font"/>
    <w:qFormat/>
    <w:rPr>
      <w:rFonts w:ascii="Microsoft Sans Serif" w:hAnsi="Microsoft Sans Serif" w:eastAsia="Microsoft Sans Serif" w:cs="Microsoft Sans Serif"/>
      <w:color w:val="000000"/>
      <w:spacing w:val="0"/>
      <w:w w:val="100"/>
      <w:sz w:val="24"/>
      <w:szCs w:val="24"/>
      <w:shd w:fill="auto" w:val="clear"/>
      <w:lang w:val="en-US" w:eastAsia="en-US" w:bidi="en-US"/>
    </w:rPr>
  </w:style>
  <w:style w:type="character" w:styleId="Funote" w:customStyle="1">
    <w:name w:val="Fußnote_"/>
    <w:basedOn w:val="DefaultParagraphFont"/>
    <w:link w:val="Funote1"/>
    <w:qFormat/>
    <w:rPr>
      <w:rFonts w:ascii="Times New Roman" w:hAnsi="Times New Roman" w:eastAsia="Times New Roman" w:cs="Times New Roman"/>
      <w:b w:val="false"/>
      <w:bCs w:val="false"/>
      <w:i w:val="false"/>
      <w:iCs w:val="false"/>
      <w:caps w:val="false"/>
      <w:smallCaps w:val="false"/>
      <w:strike w:val="false"/>
      <w:dstrike w:val="false"/>
      <w:sz w:val="22"/>
      <w:szCs w:val="22"/>
      <w:u w:val="none"/>
    </w:rPr>
  </w:style>
  <w:style w:type="character" w:styleId="Andere" w:customStyle="1">
    <w:name w:val="Andere_"/>
    <w:basedOn w:val="DefaultParagraphFont"/>
    <w:link w:val="Andere1"/>
    <w:qFormat/>
    <w:rPr>
      <w:rFonts w:ascii="Times New Roman" w:hAnsi="Times New Roman" w:eastAsia="Times New Roman" w:cs="Times New Roman"/>
      <w:b w:val="false"/>
      <w:bCs w:val="false"/>
      <w:i w:val="false"/>
      <w:iCs w:val="false"/>
      <w:caps w:val="false"/>
      <w:smallCaps w:val="false"/>
      <w:strike w:val="false"/>
      <w:dstrike w:val="false"/>
      <w:sz w:val="28"/>
      <w:szCs w:val="28"/>
      <w:u w:val="none"/>
    </w:rPr>
  </w:style>
  <w:style w:type="character" w:styleId="KopfoderFuzeile2" w:customStyle="1">
    <w:name w:val="Kopf- oder Fußzeile (2)_"/>
    <w:basedOn w:val="DefaultParagraphFont"/>
    <w:link w:val="KopfoderFuzeile21"/>
    <w:qFormat/>
    <w:rPr>
      <w:rFonts w:ascii="Times New Roman" w:hAnsi="Times New Roman" w:eastAsia="Times New Roman" w:cs="Times New Roman"/>
      <w:b w:val="false"/>
      <w:bCs w:val="false"/>
      <w:i w:val="false"/>
      <w:iCs w:val="false"/>
      <w:caps w:val="false"/>
      <w:smallCaps w:val="false"/>
      <w:strike w:val="false"/>
      <w:dstrike w:val="false"/>
      <w:sz w:val="20"/>
      <w:szCs w:val="20"/>
      <w:u w:val="none"/>
    </w:rPr>
  </w:style>
  <w:style w:type="character" w:styleId="Bildbeschriftung" w:customStyle="1">
    <w:name w:val="Bildbeschriftung_"/>
    <w:basedOn w:val="DefaultParagraphFont"/>
    <w:link w:val="Bildbeschriftung1"/>
    <w:qFormat/>
    <w:rPr>
      <w:rFonts w:ascii="Arial" w:hAnsi="Arial" w:eastAsia="Arial" w:cs="Arial"/>
      <w:b w:val="false"/>
      <w:bCs w:val="false"/>
      <w:i w:val="false"/>
      <w:iCs w:val="false"/>
      <w:caps w:val="false"/>
      <w:smallCaps w:val="false"/>
      <w:strike w:val="false"/>
      <w:dstrike w:val="false"/>
      <w:color w:val="686868"/>
      <w:sz w:val="20"/>
      <w:szCs w:val="20"/>
      <w:u w:val="none"/>
      <w:lang w:val="de-DE" w:eastAsia="de-DE" w:bidi="de-DE"/>
    </w:rPr>
  </w:style>
  <w:style w:type="character" w:styleId="Flietext2" w:customStyle="1">
    <w:name w:val="Fließtext (2)_"/>
    <w:basedOn w:val="DefaultParagraphFont"/>
    <w:link w:val="Flietext21"/>
    <w:qFormat/>
    <w:rPr>
      <w:rFonts w:ascii="Times New Roman" w:hAnsi="Times New Roman" w:eastAsia="Times New Roman" w:cs="Times New Roman"/>
      <w:b w:val="false"/>
      <w:bCs w:val="false"/>
      <w:i w:val="false"/>
      <w:iCs w:val="false"/>
      <w:caps w:val="false"/>
      <w:smallCaps w:val="false"/>
      <w:strike w:val="false"/>
      <w:dstrike w:val="false"/>
      <w:sz w:val="22"/>
      <w:szCs w:val="22"/>
      <w:u w:val="none"/>
    </w:rPr>
  </w:style>
  <w:style w:type="character" w:styleId="Berschrift1" w:customStyle="1">
    <w:name w:val="Überschrift #1_"/>
    <w:basedOn w:val="DefaultParagraphFont"/>
    <w:link w:val="Berschrift11"/>
    <w:qFormat/>
    <w:rPr>
      <w:rFonts w:ascii="Times New Roman" w:hAnsi="Times New Roman" w:eastAsia="Times New Roman" w:cs="Times New Roman"/>
      <w:b/>
      <w:bCs/>
      <w:i w:val="false"/>
      <w:iCs w:val="false"/>
      <w:caps w:val="false"/>
      <w:smallCaps w:val="false"/>
      <w:strike w:val="false"/>
      <w:dstrike w:val="false"/>
      <w:color w:val="0000EE"/>
      <w:sz w:val="42"/>
      <w:szCs w:val="42"/>
      <w:u w:val="none"/>
    </w:rPr>
  </w:style>
  <w:style w:type="character" w:styleId="Flietext" w:customStyle="1">
    <w:name w:val="Fließtext_"/>
    <w:basedOn w:val="DefaultParagraphFont"/>
    <w:link w:val="Flietext1"/>
    <w:qFormat/>
    <w:rPr>
      <w:rFonts w:ascii="Times New Roman" w:hAnsi="Times New Roman" w:eastAsia="Times New Roman" w:cs="Times New Roman"/>
      <w:b w:val="false"/>
      <w:bCs w:val="false"/>
      <w:i w:val="false"/>
      <w:iCs w:val="false"/>
      <w:caps w:val="false"/>
      <w:smallCaps w:val="false"/>
      <w:strike w:val="false"/>
      <w:dstrike w:val="false"/>
      <w:sz w:val="28"/>
      <w:szCs w:val="28"/>
      <w:u w:val="none"/>
    </w:rPr>
  </w:style>
  <w:style w:type="character" w:styleId="Flietext5" w:customStyle="1">
    <w:name w:val="Fließtext (5)_"/>
    <w:basedOn w:val="DefaultParagraphFont"/>
    <w:link w:val="Flietext51"/>
    <w:qFormat/>
    <w:rPr>
      <w:rFonts w:ascii="Times New Roman" w:hAnsi="Times New Roman" w:eastAsia="Times New Roman" w:cs="Times New Roman"/>
      <w:b w:val="false"/>
      <w:bCs w:val="false"/>
      <w:i w:val="false"/>
      <w:iCs w:val="false"/>
      <w:caps w:val="false"/>
      <w:smallCaps w:val="false"/>
      <w:strike w:val="false"/>
      <w:dstrike w:val="false"/>
      <w:sz w:val="17"/>
      <w:szCs w:val="17"/>
      <w:u w:val="none"/>
    </w:rPr>
  </w:style>
  <w:style w:type="character" w:styleId="Flietext6" w:customStyle="1">
    <w:name w:val="Fließtext (6)_"/>
    <w:basedOn w:val="DefaultParagraphFont"/>
    <w:link w:val="Flietext61"/>
    <w:qFormat/>
    <w:rPr>
      <w:rFonts w:ascii="Times New Roman" w:hAnsi="Times New Roman" w:eastAsia="Times New Roman" w:cs="Times New Roman"/>
      <w:b/>
      <w:bCs/>
      <w:i w:val="false"/>
      <w:iCs w:val="false"/>
      <w:caps w:val="false"/>
      <w:smallCaps w:val="false"/>
      <w:strike w:val="false"/>
      <w:dstrike w:val="false"/>
      <w:color w:val="686868"/>
      <w:sz w:val="15"/>
      <w:szCs w:val="15"/>
      <w:u w:val="none"/>
    </w:rPr>
  </w:style>
  <w:style w:type="character" w:styleId="Flietext8" w:customStyle="1">
    <w:name w:val="Fließtext (8)_"/>
    <w:basedOn w:val="DefaultParagraphFont"/>
    <w:link w:val="Flietext81"/>
    <w:qFormat/>
    <w:rPr>
      <w:rFonts w:ascii="Times New Roman" w:hAnsi="Times New Roman" w:eastAsia="Times New Roman" w:cs="Times New Roman"/>
      <w:b w:val="false"/>
      <w:bCs w:val="false"/>
      <w:i w:val="false"/>
      <w:iCs w:val="false"/>
      <w:caps w:val="false"/>
      <w:smallCaps w:val="false"/>
      <w:strike w:val="false"/>
      <w:dstrike w:val="false"/>
      <w:sz w:val="32"/>
      <w:szCs w:val="32"/>
      <w:u w:val="none"/>
    </w:rPr>
  </w:style>
  <w:style w:type="character" w:styleId="Flietext7" w:customStyle="1">
    <w:name w:val="Fließtext (7)_"/>
    <w:basedOn w:val="DefaultParagraphFont"/>
    <w:link w:val="Flietext71"/>
    <w:qFormat/>
    <w:rPr>
      <w:rFonts w:ascii="Times New Roman" w:hAnsi="Times New Roman" w:eastAsia="Times New Roman" w:cs="Times New Roman"/>
      <w:b/>
      <w:bCs/>
      <w:i w:val="false"/>
      <w:iCs w:val="false"/>
      <w:caps w:val="false"/>
      <w:smallCaps w:val="false"/>
      <w:strike w:val="false"/>
      <w:dstrike w:val="false"/>
      <w:color w:val="0000EE"/>
      <w:sz w:val="42"/>
      <w:szCs w:val="42"/>
      <w:u w:val="none"/>
    </w:rPr>
  </w:style>
  <w:style w:type="character" w:styleId="Internetverknpfung">
    <w:name w:val="Hyperlink"/>
    <w:rPr>
      <w:color w:val="000080"/>
      <w:u w:val="single"/>
    </w:rPr>
  </w:style>
  <w:style w:type="character" w:styleId="Funotenzeichen">
    <w:name w:val="Fußnotenzeichen"/>
    <w:qFormat/>
    <w:rPr/>
  </w:style>
  <w:style w:type="character" w:styleId="Funotenanker">
    <w:name w:val="Footnote Reference"/>
    <w:rPr>
      <w:vertAlign w:val="superscript"/>
    </w:rPr>
  </w:style>
  <w:style w:type="paragraph" w:styleId="Berschrift">
    <w:name w:val="Überschrift"/>
    <w:basedOn w:val="Normal"/>
    <w:next w:val="Textkrper"/>
    <w:qFormat/>
    <w:pPr>
      <w:keepNext w:val="true"/>
      <w:spacing w:before="240" w:after="120"/>
    </w:pPr>
    <w:rPr>
      <w:rFonts w:ascii="Arial" w:hAnsi="Arial" w:eastAsia="Microsoft YaHei" w:cs="Arial"/>
      <w:sz w:val="28"/>
      <w:szCs w:val="28"/>
    </w:rPr>
  </w:style>
  <w:style w:type="paragraph" w:styleId="Textkrper">
    <w:name w:val="Body Text"/>
    <w:basedOn w:val="Normal"/>
    <w:pPr>
      <w:spacing w:lineRule="auto" w:line="276" w:before="0" w:after="140"/>
    </w:pPr>
    <w:rPr/>
  </w:style>
  <w:style w:type="paragraph" w:styleId="Aufzhlung">
    <w:name w:val="List"/>
    <w:basedOn w:val="Textkrper"/>
    <w:pPr/>
    <w:rPr>
      <w:rFonts w:cs="Arial"/>
    </w:rPr>
  </w:style>
  <w:style w:type="paragraph" w:styleId="Beschriftung">
    <w:name w:val="Caption"/>
    <w:basedOn w:val="Normal"/>
    <w:qFormat/>
    <w:pPr>
      <w:suppressLineNumbers/>
      <w:spacing w:before="120" w:after="120"/>
    </w:pPr>
    <w:rPr>
      <w:rFonts w:cs="Arial"/>
      <w:i/>
      <w:iCs/>
      <w:sz w:val="24"/>
      <w:szCs w:val="24"/>
    </w:rPr>
  </w:style>
  <w:style w:type="paragraph" w:styleId="Verzeichnis">
    <w:name w:val="Verzeichnis"/>
    <w:basedOn w:val="Normal"/>
    <w:qFormat/>
    <w:pPr>
      <w:suppressLineNumbers/>
    </w:pPr>
    <w:rPr>
      <w:rFonts w:cs="Arial"/>
    </w:rPr>
  </w:style>
  <w:style w:type="paragraph" w:styleId="Funote1" w:customStyle="1">
    <w:name w:val="Footnote Text"/>
    <w:basedOn w:val="Normal"/>
    <w:link w:val="Funote"/>
    <w:pPr>
      <w:widowControl w:val="false"/>
      <w:shd w:val="clear" w:color="auto" w:fill="FFFFFF"/>
      <w:spacing w:lineRule="auto" w:line="204"/>
      <w:ind w:left="0" w:right="0" w:firstLine="240"/>
    </w:pPr>
    <w:rPr>
      <w:rFonts w:ascii="Times New Roman" w:hAnsi="Times New Roman" w:eastAsia="Times New Roman" w:cs="Times New Roman"/>
      <w:b w:val="false"/>
      <w:bCs w:val="false"/>
      <w:i w:val="false"/>
      <w:iCs w:val="false"/>
      <w:caps w:val="false"/>
      <w:smallCaps w:val="false"/>
      <w:strike w:val="false"/>
      <w:dstrike w:val="false"/>
      <w:sz w:val="22"/>
      <w:szCs w:val="22"/>
      <w:u w:val="none"/>
    </w:rPr>
  </w:style>
  <w:style w:type="paragraph" w:styleId="Andere1" w:customStyle="1">
    <w:name w:val="Andere"/>
    <w:basedOn w:val="Normal"/>
    <w:link w:val="Andere"/>
    <w:qFormat/>
    <w:pPr>
      <w:widowControl w:val="false"/>
      <w:shd w:val="clear" w:color="auto" w:fill="FFFFFF"/>
      <w:spacing w:lineRule="auto" w:line="256" w:before="0" w:after="240"/>
      <w:ind w:left="0" w:right="0" w:firstLine="280"/>
    </w:pPr>
    <w:rPr>
      <w:rFonts w:ascii="Times New Roman" w:hAnsi="Times New Roman" w:eastAsia="Times New Roman" w:cs="Times New Roman"/>
      <w:b w:val="false"/>
      <w:bCs w:val="false"/>
      <w:i w:val="false"/>
      <w:iCs w:val="false"/>
      <w:caps w:val="false"/>
      <w:smallCaps w:val="false"/>
      <w:strike w:val="false"/>
      <w:dstrike w:val="false"/>
      <w:sz w:val="28"/>
      <w:szCs w:val="28"/>
      <w:u w:val="none"/>
    </w:rPr>
  </w:style>
  <w:style w:type="paragraph" w:styleId="KopfoderFuzeile21" w:customStyle="1">
    <w:name w:val="Kopf- oder Fußzeile (2)"/>
    <w:basedOn w:val="Normal"/>
    <w:link w:val="KopfoderFuzeile2"/>
    <w:qFormat/>
    <w:pPr>
      <w:widowControl w:val="false"/>
      <w:shd w:val="clear" w:color="auto" w:fill="FFFFFF"/>
    </w:pPr>
    <w:rPr>
      <w:rFonts w:ascii="Times New Roman" w:hAnsi="Times New Roman" w:eastAsia="Times New Roman" w:cs="Times New Roman"/>
      <w:b w:val="false"/>
      <w:bCs w:val="false"/>
      <w:i w:val="false"/>
      <w:iCs w:val="false"/>
      <w:caps w:val="false"/>
      <w:smallCaps w:val="false"/>
      <w:strike w:val="false"/>
      <w:dstrike w:val="false"/>
      <w:sz w:val="20"/>
      <w:szCs w:val="20"/>
      <w:u w:val="none"/>
    </w:rPr>
  </w:style>
  <w:style w:type="paragraph" w:styleId="Bildbeschriftung1" w:customStyle="1">
    <w:name w:val="Bildbeschriftung"/>
    <w:basedOn w:val="Normal"/>
    <w:link w:val="Bildbeschriftung"/>
    <w:qFormat/>
    <w:pPr>
      <w:widowControl w:val="false"/>
      <w:shd w:val="clear" w:color="auto" w:fill="FFFFFF"/>
    </w:pPr>
    <w:rPr>
      <w:rFonts w:ascii="Arial" w:hAnsi="Arial" w:eastAsia="Arial" w:cs="Arial"/>
      <w:b w:val="false"/>
      <w:bCs w:val="false"/>
      <w:i w:val="false"/>
      <w:iCs w:val="false"/>
      <w:caps w:val="false"/>
      <w:smallCaps w:val="false"/>
      <w:strike w:val="false"/>
      <w:dstrike w:val="false"/>
      <w:color w:val="686868"/>
      <w:sz w:val="20"/>
      <w:szCs w:val="20"/>
      <w:u w:val="none"/>
      <w:lang w:val="de-DE" w:eastAsia="de-DE" w:bidi="de-DE"/>
    </w:rPr>
  </w:style>
  <w:style w:type="paragraph" w:styleId="Flietext21" w:customStyle="1">
    <w:name w:val="Fließtext (2)"/>
    <w:basedOn w:val="Normal"/>
    <w:link w:val="Flietext2"/>
    <w:qFormat/>
    <w:pPr>
      <w:widowControl w:val="false"/>
      <w:shd w:val="clear" w:color="auto" w:fill="FFFFFF"/>
      <w:spacing w:lineRule="auto" w:line="220"/>
      <w:ind w:left="0" w:right="0" w:firstLine="240"/>
    </w:pPr>
    <w:rPr>
      <w:rFonts w:ascii="Times New Roman" w:hAnsi="Times New Roman" w:eastAsia="Times New Roman" w:cs="Times New Roman"/>
      <w:b w:val="false"/>
      <w:bCs w:val="false"/>
      <w:i w:val="false"/>
      <w:iCs w:val="false"/>
      <w:caps w:val="false"/>
      <w:smallCaps w:val="false"/>
      <w:strike w:val="false"/>
      <w:dstrike w:val="false"/>
      <w:sz w:val="22"/>
      <w:szCs w:val="22"/>
      <w:u w:val="none"/>
    </w:rPr>
  </w:style>
  <w:style w:type="paragraph" w:styleId="Berschrift11" w:customStyle="1">
    <w:name w:val="Überschrift #1"/>
    <w:basedOn w:val="Normal"/>
    <w:link w:val="Berschrift1"/>
    <w:qFormat/>
    <w:pPr>
      <w:widowControl w:val="false"/>
      <w:shd w:val="clear" w:color="auto" w:fill="FFFFFF"/>
      <w:spacing w:before="0" w:after="440"/>
      <w:outlineLvl w:val="0"/>
    </w:pPr>
    <w:rPr>
      <w:rFonts w:ascii="Times New Roman" w:hAnsi="Times New Roman" w:eastAsia="Times New Roman" w:cs="Times New Roman"/>
      <w:b/>
      <w:bCs/>
      <w:i w:val="false"/>
      <w:iCs w:val="false"/>
      <w:caps w:val="false"/>
      <w:smallCaps w:val="false"/>
      <w:strike w:val="false"/>
      <w:dstrike w:val="false"/>
      <w:color w:val="0000EE"/>
      <w:sz w:val="42"/>
      <w:szCs w:val="42"/>
      <w:u w:val="none"/>
    </w:rPr>
  </w:style>
  <w:style w:type="paragraph" w:styleId="Flietext1" w:customStyle="1">
    <w:name w:val="Fließtext"/>
    <w:basedOn w:val="Normal"/>
    <w:link w:val="Flietext"/>
    <w:qFormat/>
    <w:pPr>
      <w:widowControl w:val="false"/>
      <w:shd w:val="clear" w:color="auto" w:fill="FFFFFF"/>
      <w:spacing w:lineRule="auto" w:line="256" w:before="0" w:after="240"/>
      <w:ind w:left="0" w:right="0" w:firstLine="280"/>
    </w:pPr>
    <w:rPr>
      <w:rFonts w:ascii="Times New Roman" w:hAnsi="Times New Roman" w:eastAsia="Times New Roman" w:cs="Times New Roman"/>
      <w:b w:val="false"/>
      <w:bCs w:val="false"/>
      <w:i w:val="false"/>
      <w:iCs w:val="false"/>
      <w:caps w:val="false"/>
      <w:smallCaps w:val="false"/>
      <w:strike w:val="false"/>
      <w:dstrike w:val="false"/>
      <w:sz w:val="28"/>
      <w:szCs w:val="28"/>
      <w:u w:val="none"/>
    </w:rPr>
  </w:style>
  <w:style w:type="paragraph" w:styleId="Flietext51" w:customStyle="1">
    <w:name w:val="Fließtext (5)"/>
    <w:basedOn w:val="Normal"/>
    <w:link w:val="Flietext5"/>
    <w:qFormat/>
    <w:pPr>
      <w:widowControl w:val="false"/>
      <w:shd w:val="clear" w:color="auto" w:fill="FFFFFF"/>
      <w:ind w:left="0" w:right="0" w:firstLine="260"/>
    </w:pPr>
    <w:rPr>
      <w:rFonts w:ascii="Times New Roman" w:hAnsi="Times New Roman" w:eastAsia="Times New Roman" w:cs="Times New Roman"/>
      <w:b w:val="false"/>
      <w:bCs w:val="false"/>
      <w:i w:val="false"/>
      <w:iCs w:val="false"/>
      <w:caps w:val="false"/>
      <w:smallCaps w:val="false"/>
      <w:strike w:val="false"/>
      <w:dstrike w:val="false"/>
      <w:sz w:val="17"/>
      <w:szCs w:val="17"/>
      <w:u w:val="none"/>
    </w:rPr>
  </w:style>
  <w:style w:type="paragraph" w:styleId="Flietext61" w:customStyle="1">
    <w:name w:val="Fließtext (6)"/>
    <w:basedOn w:val="Normal"/>
    <w:link w:val="Flietext6"/>
    <w:qFormat/>
    <w:pPr>
      <w:widowControl w:val="false"/>
      <w:shd w:val="clear" w:color="auto" w:fill="FFFFFF"/>
      <w:spacing w:lineRule="auto" w:line="232" w:before="0" w:after="280"/>
      <w:jc w:val="center"/>
    </w:pPr>
    <w:rPr>
      <w:rFonts w:ascii="Times New Roman" w:hAnsi="Times New Roman" w:eastAsia="Times New Roman" w:cs="Times New Roman"/>
      <w:b/>
      <w:bCs/>
      <w:i w:val="false"/>
      <w:iCs w:val="false"/>
      <w:caps w:val="false"/>
      <w:smallCaps w:val="false"/>
      <w:strike w:val="false"/>
      <w:dstrike w:val="false"/>
      <w:color w:val="686868"/>
      <w:sz w:val="15"/>
      <w:szCs w:val="15"/>
      <w:u w:val="none"/>
    </w:rPr>
  </w:style>
  <w:style w:type="paragraph" w:styleId="Flietext81" w:customStyle="1">
    <w:name w:val="Fließtext (8)"/>
    <w:basedOn w:val="Normal"/>
    <w:link w:val="Flietext8"/>
    <w:qFormat/>
    <w:pPr>
      <w:widowControl w:val="false"/>
      <w:shd w:val="clear" w:color="auto" w:fill="FFFFFF"/>
      <w:jc w:val="center"/>
    </w:pPr>
    <w:rPr>
      <w:rFonts w:ascii="Times New Roman" w:hAnsi="Times New Roman" w:eastAsia="Times New Roman" w:cs="Times New Roman"/>
      <w:b w:val="false"/>
      <w:bCs w:val="false"/>
      <w:i w:val="false"/>
      <w:iCs w:val="false"/>
      <w:caps w:val="false"/>
      <w:smallCaps w:val="false"/>
      <w:strike w:val="false"/>
      <w:dstrike w:val="false"/>
      <w:sz w:val="32"/>
      <w:szCs w:val="32"/>
      <w:u w:val="none"/>
    </w:rPr>
  </w:style>
  <w:style w:type="paragraph" w:styleId="Flietext71" w:customStyle="1">
    <w:name w:val="Fließtext (7)"/>
    <w:basedOn w:val="Normal"/>
    <w:link w:val="Flietext7"/>
    <w:qFormat/>
    <w:pPr>
      <w:widowControl w:val="false"/>
      <w:shd w:val="clear" w:color="auto" w:fill="FFFFFF"/>
      <w:spacing w:before="0" w:after="390"/>
      <w:jc w:val="center"/>
    </w:pPr>
    <w:rPr>
      <w:rFonts w:ascii="Times New Roman" w:hAnsi="Times New Roman" w:eastAsia="Times New Roman" w:cs="Times New Roman"/>
      <w:b/>
      <w:bCs/>
      <w:i w:val="false"/>
      <w:iCs w:val="false"/>
      <w:caps w:val="false"/>
      <w:smallCaps w:val="false"/>
      <w:strike w:val="false"/>
      <w:dstrike w:val="false"/>
      <w:color w:val="0000EE"/>
      <w:sz w:val="42"/>
      <w:szCs w:val="42"/>
      <w:u w:val="none"/>
    </w:rPr>
  </w:style>
  <w:style w:type="paragraph" w:styleId="KopfundFuzeile">
    <w:name w:val="Kopf- und Fußzeile"/>
    <w:basedOn w:val="Normal"/>
    <w:qFormat/>
    <w:pPr/>
    <w:rPr/>
  </w:style>
  <w:style w:type="paragraph" w:styleId="Fuzeile">
    <w:name w:val="Footer"/>
    <w:basedOn w:val="KopfundFuzeile"/>
    <w:pPr/>
    <w:rPr/>
  </w:style>
  <w:style w:type="paragraph" w:styleId="Rahmeninhalt">
    <w:name w:val="Rahmeninhalt"/>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image" Target="media/image1.jpeg"/><Relationship Id="rId5" Type="http://schemas.openxmlformats.org/officeDocument/2006/relationships/footer" Target="footer3.xml"/><Relationship Id="rId6" Type="http://schemas.openxmlformats.org/officeDocument/2006/relationships/footer" Target="footer4.xml"/><Relationship Id="rId7" Type="http://schemas.openxmlformats.org/officeDocument/2006/relationships/footer" Target="footer5.xml"/><Relationship Id="rId8" Type="http://schemas.openxmlformats.org/officeDocument/2006/relationships/footer" Target="footer6.xml"/><Relationship Id="rId9" Type="http://schemas.openxmlformats.org/officeDocument/2006/relationships/footer" Target="footer7.xml"/><Relationship Id="rId10" Type="http://schemas.openxmlformats.org/officeDocument/2006/relationships/footer" Target="footer8.xml"/><Relationship Id="rId11" Type="http://schemas.openxmlformats.org/officeDocument/2006/relationships/footer" Target="footer9.xml"/><Relationship Id="rId12" Type="http://schemas.openxmlformats.org/officeDocument/2006/relationships/footer" Target="footer10.xml"/><Relationship Id="rId13" Type="http://schemas.openxmlformats.org/officeDocument/2006/relationships/footer" Target="footer11.xml"/><Relationship Id="rId14" Type="http://schemas.openxmlformats.org/officeDocument/2006/relationships/footer" Target="footer12.xml"/><Relationship Id="rId15" Type="http://schemas.openxmlformats.org/officeDocument/2006/relationships/footer" Target="footer13.xml"/><Relationship Id="rId16" Type="http://schemas.openxmlformats.org/officeDocument/2006/relationships/footer" Target="footer14.xml"/><Relationship Id="rId17" Type="http://schemas.openxmlformats.org/officeDocument/2006/relationships/footer" Target="footer15.xml"/><Relationship Id="rId18" Type="http://schemas.openxmlformats.org/officeDocument/2006/relationships/footer" Target="footer16.xml"/><Relationship Id="rId19" Type="http://schemas.openxmlformats.org/officeDocument/2006/relationships/footer" Target="footer17.xml"/><Relationship Id="rId20" Type="http://schemas.openxmlformats.org/officeDocument/2006/relationships/footer" Target="footer18.xml"/><Relationship Id="rId21" Type="http://schemas.openxmlformats.org/officeDocument/2006/relationships/footer" Target="footer19.xml"/><Relationship Id="rId22" Type="http://schemas.openxmlformats.org/officeDocument/2006/relationships/footer" Target="footer20.xml"/><Relationship Id="rId23" Type="http://schemas.openxmlformats.org/officeDocument/2006/relationships/footer" Target="footer21.xml"/><Relationship Id="rId24" Type="http://schemas.openxmlformats.org/officeDocument/2006/relationships/footer" Target="footer22.xml"/><Relationship Id="rId25" Type="http://schemas.openxmlformats.org/officeDocument/2006/relationships/footer" Target="footer23.xml"/><Relationship Id="rId26" Type="http://schemas.openxmlformats.org/officeDocument/2006/relationships/footer" Target="footer24.xml"/><Relationship Id="rId27" Type="http://schemas.openxmlformats.org/officeDocument/2006/relationships/footer" Target="footer25.xml"/><Relationship Id="rId28" Type="http://schemas.openxmlformats.org/officeDocument/2006/relationships/footer" Target="footer26.xml"/><Relationship Id="rId29" Type="http://schemas.openxmlformats.org/officeDocument/2006/relationships/footer" Target="footer27.xml"/><Relationship Id="rId30" Type="http://schemas.openxmlformats.org/officeDocument/2006/relationships/footer" Target="footer28.xml"/><Relationship Id="rId31" Type="http://schemas.openxmlformats.org/officeDocument/2006/relationships/footer" Target="footer29.xml"/><Relationship Id="rId32" Type="http://schemas.openxmlformats.org/officeDocument/2006/relationships/footer" Target="footer30.xml"/><Relationship Id="rId33" Type="http://schemas.openxmlformats.org/officeDocument/2006/relationships/footer" Target="footer31.xml"/><Relationship Id="rId34" Type="http://schemas.openxmlformats.org/officeDocument/2006/relationships/footer" Target="footer32.xml"/><Relationship Id="rId35" Type="http://schemas.openxmlformats.org/officeDocument/2006/relationships/footer" Target="footer33.xml"/><Relationship Id="rId36" Type="http://schemas.openxmlformats.org/officeDocument/2006/relationships/footer" Target="footer34.xml"/><Relationship Id="rId37" Type="http://schemas.openxmlformats.org/officeDocument/2006/relationships/footer" Target="footer35.xml"/><Relationship Id="rId38" Type="http://schemas.openxmlformats.org/officeDocument/2006/relationships/footer" Target="footer36.xml"/><Relationship Id="rId39" Type="http://schemas.openxmlformats.org/officeDocument/2006/relationships/footer" Target="footer37.xml"/><Relationship Id="rId40" Type="http://schemas.openxmlformats.org/officeDocument/2006/relationships/footer" Target="footer38.xml"/><Relationship Id="rId41" Type="http://schemas.openxmlformats.org/officeDocument/2006/relationships/footer" Target="footer39.xml"/><Relationship Id="rId42" Type="http://schemas.openxmlformats.org/officeDocument/2006/relationships/footer" Target="footer40.xml"/><Relationship Id="rId43" Type="http://schemas.openxmlformats.org/officeDocument/2006/relationships/footer" Target="footer41.xml"/><Relationship Id="rId44" Type="http://schemas.openxmlformats.org/officeDocument/2006/relationships/footer" Target="footer42.xml"/><Relationship Id="rId45" Type="http://schemas.openxmlformats.org/officeDocument/2006/relationships/footer" Target="footer43.xml"/><Relationship Id="rId46" Type="http://schemas.openxmlformats.org/officeDocument/2006/relationships/footer" Target="footer44.xml"/><Relationship Id="rId47" Type="http://schemas.openxmlformats.org/officeDocument/2006/relationships/footer" Target="footer45.xml"/><Relationship Id="rId48" Type="http://schemas.openxmlformats.org/officeDocument/2006/relationships/footer" Target="footer46.xml"/><Relationship Id="rId49" Type="http://schemas.openxmlformats.org/officeDocument/2006/relationships/numbering" Target="numbering.xml"/><Relationship Id="rId50" Type="http://schemas.openxmlformats.org/officeDocument/2006/relationships/fontTable" Target="fontTable.xml"/><Relationship Id="rId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13</TotalTime>
  <Application>LibreOffice/7.4.3.2$Windows_x86 LibreOffice_project/1048a8393ae2eeec98dff31b5c133c5f1d08b890</Application>
  <AppVersion>15.0000</AppVersion>
  <Pages>286</Pages>
  <Words>102506</Words>
  <Characters>655404</Characters>
  <CharactersWithSpaces>756129</CharactersWithSpaces>
  <Paragraphs>1562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J. McCormick</dc:creator>
  <dc:description/>
  <cp:keywords>Political Science General</cp:keywords>
  <dc:language>de-DE</dc:language>
  <cp:lastModifiedBy/>
  <dcterms:modified xsi:type="dcterms:W3CDTF">2023-02-20T14:01:29Z</dcterms:modified>
  <cp:revision>1</cp:revision>
  <dc:subject>Downloaded from Z-Library</dc:subject>
  <dc:title>Social Contract and Political Obligation: A Critique and Reappraisal</dc:title>
</cp:coreProperties>
</file>